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77425"/>
      <w:bookmarkStart w:id="1" w:name="_Toc15377193"/>
      <w:bookmarkStart w:id="2" w:name="_Toc15396475"/>
      <w:bookmarkStart w:id="3" w:name="_Toc15378441"/>
      <w:bookmarkStart w:id="4"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20" w:firstLineChars="100"/>
        <w:jc w:val="center"/>
        <w:textAlignment w:val="auto"/>
        <w:outlineLvl w:val="0"/>
        <w:rPr>
          <w:rFonts w:hint="eastAsia" w:ascii="方正小标宋简体" w:hAnsi="宋体" w:eastAsia="方正小标宋简体"/>
          <w:color w:val="000000"/>
          <w:sz w:val="72"/>
          <w:szCs w:val="72"/>
          <w:lang w:eastAsia="zh-CN"/>
        </w:rPr>
      </w:pPr>
      <w:bookmarkStart w:id="5" w:name="_Toc15396476"/>
      <w:bookmarkStart w:id="6" w:name="_Toc15396598"/>
      <w:bookmarkStart w:id="7" w:name="_Toc15378442"/>
      <w:bookmarkStart w:id="8" w:name="_Toc15377426"/>
      <w:bookmarkStart w:id="9" w:name="_Toc15377194"/>
      <w:r>
        <w:rPr>
          <w:rFonts w:hint="eastAsia" w:ascii="方正小标宋简体" w:hAnsi="宋体" w:eastAsia="方正小标宋简体"/>
          <w:color w:val="000000"/>
          <w:sz w:val="72"/>
          <w:szCs w:val="72"/>
        </w:rPr>
        <w:t>四川省</w:t>
      </w:r>
      <w:bookmarkStart w:id="10" w:name="_Toc15306268"/>
      <w:r>
        <w:rPr>
          <w:rFonts w:hint="eastAsia" w:ascii="方正小标宋简体" w:hAnsi="宋体" w:eastAsia="方正小标宋简体"/>
          <w:color w:val="000000"/>
          <w:sz w:val="72"/>
          <w:szCs w:val="72"/>
          <w:lang w:eastAsia="zh-CN"/>
        </w:rPr>
        <w:t>攀枝花市仁和区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20" w:firstLineChars="100"/>
        <w:jc w:val="center"/>
        <w:textAlignment w:val="auto"/>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平地中心卫生院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20" w:firstLineChars="100"/>
        <w:jc w:val="center"/>
        <w:textAlignment w:val="auto"/>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5"/>
      <w:bookmarkEnd w:id="6"/>
      <w:bookmarkEnd w:id="7"/>
      <w:bookmarkEnd w:id="8"/>
      <w:bookmarkEnd w:id="9"/>
      <w:bookmarkEnd w:id="10"/>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7"/>
        <w:jc w:val="both"/>
        <w:rPr>
          <w:rFonts w:cstheme="minorBidi"/>
        </w:rPr>
      </w:pPr>
      <w:r>
        <w:fldChar w:fldCharType="begin"/>
      </w:r>
      <w:r>
        <w:instrText xml:space="preserve"> HYPERLINK \l "_Toc15396599" </w:instrText>
      </w:r>
      <w:r>
        <w:fldChar w:fldCharType="separate"/>
      </w:r>
      <w:r>
        <w:rPr>
          <w:rStyle w:val="13"/>
          <w:rFonts w:hint="eastAsia"/>
        </w:rPr>
        <w:t>第一部分部门概况</w:t>
      </w:r>
      <w:r>
        <w:rPr>
          <w:rFonts w:hint="eastAsia"/>
        </w:rPr>
        <w:fldChar w:fldCharType="end"/>
      </w:r>
    </w:p>
    <w:p>
      <w:pPr>
        <w:pStyle w:val="8"/>
        <w:ind w:leftChars="0"/>
        <w:jc w:val="left"/>
        <w:rPr>
          <w:rFonts w:ascii="仿宋" w:hAnsi="仿宋" w:eastAsia="仿宋" w:cstheme="minorBidi"/>
          <w:sz w:val="28"/>
          <w:szCs w:val="28"/>
        </w:rPr>
      </w:pPr>
      <w:r>
        <w:fldChar w:fldCharType="begin"/>
      </w:r>
      <w:r>
        <w:instrText xml:space="preserve"> HYPERLINK \l "_Toc15396600" </w:instrText>
      </w:r>
      <w:r>
        <w:fldChar w:fldCharType="separate"/>
      </w:r>
      <w:r>
        <w:rPr>
          <w:rStyle w:val="13"/>
          <w:rFonts w:hint="eastAsia" w:ascii="仿宋" w:hAnsi="仿宋" w:eastAsia="仿宋"/>
          <w:sz w:val="28"/>
          <w:szCs w:val="28"/>
        </w:rPr>
        <w:t>一、基本职能及主要工作</w:t>
      </w:r>
      <w:r>
        <w:rPr>
          <w:rFonts w:hint="eastAsia" w:ascii="仿宋" w:hAnsi="仿宋" w:eastAsia="仿宋"/>
          <w:sz w:val="28"/>
          <w:szCs w:val="28"/>
        </w:rPr>
        <w:fldChar w:fldCharType="end"/>
      </w:r>
      <w:r>
        <w:rPr>
          <w:rFonts w:hint="eastAsia" w:ascii="仿宋" w:hAnsi="仿宋" w:eastAsia="仿宋"/>
          <w:sz w:val="28"/>
          <w:szCs w:val="28"/>
          <w:lang w:val="en-US" w:eastAsia="zh-CN"/>
        </w:rPr>
        <w:t>..............................(4)</w:t>
      </w:r>
    </w:p>
    <w:p>
      <w:pPr>
        <w:pStyle w:val="8"/>
        <w:ind w:leftChars="0"/>
        <w:jc w:val="left"/>
        <w:rPr>
          <w:rFonts w:ascii="仿宋" w:hAnsi="仿宋" w:eastAsia="仿宋" w:cstheme="minorBidi"/>
          <w:sz w:val="28"/>
          <w:szCs w:val="28"/>
        </w:rPr>
      </w:pPr>
      <w:r>
        <w:fldChar w:fldCharType="begin"/>
      </w:r>
      <w:r>
        <w:instrText xml:space="preserve"> HYPERLINK \l "_Toc15396601" </w:instrText>
      </w:r>
      <w:r>
        <w:fldChar w:fldCharType="separate"/>
      </w:r>
      <w:r>
        <w:rPr>
          <w:rStyle w:val="13"/>
          <w:rFonts w:hint="eastAsia" w:ascii="仿宋" w:hAnsi="仿宋" w:eastAsia="仿宋"/>
          <w:sz w:val="28"/>
          <w:szCs w:val="28"/>
        </w:rPr>
        <w:t>二、机构设置</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7"/>
        <w:jc w:val="left"/>
      </w:pPr>
      <w:r>
        <w:fldChar w:fldCharType="begin"/>
      </w:r>
      <w:r>
        <w:instrText xml:space="preserve"> HYPERLINK \l "_Toc15396602" </w:instrText>
      </w:r>
      <w:r>
        <w:fldChar w:fldCharType="separate"/>
      </w:r>
      <w:r>
        <w:rPr>
          <w:rStyle w:val="13"/>
          <w:rFonts w:hint="eastAsia"/>
        </w:rPr>
        <w:t>第二部分</w:t>
      </w:r>
      <w:r>
        <w:rPr>
          <w:rStyle w:val="13"/>
        </w:rPr>
        <w:t xml:space="preserve"> 2018</w:t>
      </w:r>
      <w:r>
        <w:rPr>
          <w:rStyle w:val="13"/>
          <w:rFonts w:hint="eastAsia"/>
        </w:rPr>
        <w:t>年度部门决算情况说明</w:t>
      </w:r>
      <w:r>
        <w:fldChar w:fldCharType="end"/>
      </w:r>
    </w:p>
    <w:p>
      <w:pPr>
        <w:pStyle w:val="8"/>
        <w:ind w:leftChars="0"/>
        <w:jc w:val="left"/>
        <w:rPr>
          <w:rFonts w:ascii="仿宋" w:hAnsi="仿宋" w:eastAsia="仿宋" w:cstheme="minorBidi"/>
          <w:sz w:val="28"/>
          <w:szCs w:val="28"/>
        </w:rPr>
      </w:pPr>
      <w:r>
        <w:fldChar w:fldCharType="begin"/>
      </w:r>
      <w:r>
        <w:instrText xml:space="preserve"> HYPERLINK \l "_Toc15396603" </w:instrText>
      </w:r>
      <w:r>
        <w:fldChar w:fldCharType="separate"/>
      </w:r>
      <w:r>
        <w:rPr>
          <w:rStyle w:val="13"/>
          <w:rFonts w:hint="eastAsia" w:ascii="仿宋" w:hAnsi="仿宋" w:eastAsia="仿宋" w:cstheme="majorBidi"/>
          <w:bCs/>
          <w:sz w:val="28"/>
          <w:szCs w:val="28"/>
        </w:rPr>
        <w:t>一、</w:t>
      </w:r>
      <w:r>
        <w:rPr>
          <w:rStyle w:val="13"/>
          <w:rFonts w:hint="eastAsia" w:ascii="仿宋" w:hAnsi="仿宋" w:eastAsia="仿宋"/>
          <w:sz w:val="28"/>
          <w:szCs w:val="28"/>
        </w:rPr>
        <w:t>收</w:t>
      </w:r>
      <w:r>
        <w:rPr>
          <w:rStyle w:val="13"/>
          <w:rFonts w:hint="eastAsia" w:ascii="仿宋" w:hAnsi="仿宋" w:eastAsia="仿宋" w:cstheme="majorBidi"/>
          <w:bCs/>
          <w:sz w:val="28"/>
          <w:szCs w:val="28"/>
        </w:rPr>
        <w:t>入支出决算总体情况说明</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8"/>
        <w:rPr>
          <w:rFonts w:ascii="仿宋" w:hAnsi="仿宋" w:eastAsia="仿宋" w:cstheme="minorBidi"/>
          <w:sz w:val="28"/>
          <w:szCs w:val="28"/>
        </w:rPr>
      </w:pPr>
      <w:r>
        <w:fldChar w:fldCharType="begin"/>
      </w:r>
      <w:r>
        <w:instrText xml:space="preserve"> HYPERLINK \l "_Toc15396604" </w:instrText>
      </w:r>
      <w:r>
        <w:fldChar w:fldCharType="separate"/>
      </w:r>
      <w:r>
        <w:rPr>
          <w:rStyle w:val="13"/>
          <w:rFonts w:hint="eastAsia" w:ascii="仿宋" w:hAnsi="仿宋" w:eastAsia="仿宋" w:cstheme="majorBidi"/>
          <w:bCs/>
          <w:sz w:val="28"/>
          <w:szCs w:val="28"/>
        </w:rPr>
        <w:t>二、</w:t>
      </w:r>
      <w:r>
        <w:rPr>
          <w:rStyle w:val="13"/>
          <w:rFonts w:hint="eastAsia" w:ascii="仿宋" w:hAnsi="仿宋" w:eastAsia="仿宋"/>
          <w:sz w:val="28"/>
          <w:szCs w:val="28"/>
        </w:rPr>
        <w:t>收</w:t>
      </w:r>
      <w:r>
        <w:rPr>
          <w:rStyle w:val="13"/>
          <w:rFonts w:hint="eastAsia" w:ascii="仿宋" w:hAnsi="仿宋" w:eastAsia="仿宋" w:cstheme="majorBidi"/>
          <w:bCs/>
          <w:sz w:val="28"/>
          <w:szCs w:val="28"/>
        </w:rPr>
        <w:t>入决算情况说明</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8"/>
        <w:rPr>
          <w:rFonts w:ascii="仿宋" w:hAnsi="仿宋" w:eastAsia="仿宋" w:cstheme="minorBidi"/>
          <w:sz w:val="28"/>
          <w:szCs w:val="28"/>
        </w:rPr>
      </w:pPr>
      <w:r>
        <w:fldChar w:fldCharType="begin"/>
      </w:r>
      <w:r>
        <w:instrText xml:space="preserve"> HYPERLINK \l "_Toc15396605" </w:instrText>
      </w:r>
      <w:r>
        <w:fldChar w:fldCharType="separate"/>
      </w:r>
      <w:r>
        <w:rPr>
          <w:rStyle w:val="13"/>
          <w:rFonts w:hint="eastAsia" w:ascii="仿宋" w:hAnsi="仿宋" w:eastAsia="仿宋" w:cstheme="majorBidi"/>
          <w:bCs/>
          <w:sz w:val="28"/>
          <w:szCs w:val="28"/>
        </w:rPr>
        <w:t>三、</w:t>
      </w:r>
      <w:r>
        <w:rPr>
          <w:rStyle w:val="13"/>
          <w:rFonts w:hint="eastAsia" w:ascii="仿宋" w:hAnsi="仿宋" w:eastAsia="仿宋"/>
          <w:sz w:val="28"/>
          <w:szCs w:val="28"/>
        </w:rPr>
        <w:t>支</w:t>
      </w:r>
      <w:r>
        <w:rPr>
          <w:rStyle w:val="13"/>
          <w:rFonts w:hint="eastAsia" w:ascii="仿宋" w:hAnsi="仿宋" w:eastAsia="仿宋" w:cstheme="majorBidi"/>
          <w:bCs/>
          <w:sz w:val="28"/>
          <w:szCs w:val="28"/>
        </w:rPr>
        <w:t>出决算情况说明</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8"/>
        <w:rPr>
          <w:rFonts w:ascii="仿宋" w:hAnsi="仿宋" w:eastAsia="仿宋" w:cstheme="minorBidi"/>
          <w:sz w:val="28"/>
          <w:szCs w:val="28"/>
        </w:rPr>
      </w:pPr>
      <w:r>
        <w:fldChar w:fldCharType="begin"/>
      </w:r>
      <w:r>
        <w:instrText xml:space="preserve"> HYPERLINK \l "_Toc15396606" </w:instrText>
      </w:r>
      <w:r>
        <w:fldChar w:fldCharType="separate"/>
      </w:r>
      <w:r>
        <w:rPr>
          <w:rStyle w:val="13"/>
          <w:rFonts w:hint="eastAsia" w:ascii="仿宋" w:hAnsi="仿宋" w:eastAsia="仿宋"/>
          <w:sz w:val="28"/>
          <w:szCs w:val="28"/>
        </w:rPr>
        <w:t>四、财</w:t>
      </w:r>
      <w:r>
        <w:rPr>
          <w:rStyle w:val="13"/>
          <w:rFonts w:hint="eastAsia" w:ascii="仿宋" w:hAnsi="仿宋" w:eastAsia="仿宋" w:cstheme="majorBidi"/>
          <w:bCs/>
          <w:sz w:val="28"/>
          <w:szCs w:val="28"/>
        </w:rPr>
        <w:t>政拨款收入支出决算总体情况说明</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8"/>
        <w:rPr>
          <w:rFonts w:ascii="仿宋" w:hAnsi="仿宋" w:eastAsia="仿宋" w:cstheme="minorBidi"/>
          <w:sz w:val="28"/>
          <w:szCs w:val="28"/>
        </w:rPr>
      </w:pPr>
      <w:r>
        <w:fldChar w:fldCharType="begin"/>
      </w:r>
      <w:r>
        <w:instrText xml:space="preserve"> HYPERLINK \l "_Toc15396607" </w:instrText>
      </w:r>
      <w:r>
        <w:fldChar w:fldCharType="separate"/>
      </w:r>
      <w:r>
        <w:rPr>
          <w:rStyle w:val="13"/>
          <w:rFonts w:hint="eastAsia" w:ascii="仿宋" w:hAnsi="仿宋" w:eastAsia="仿宋"/>
          <w:sz w:val="28"/>
          <w:szCs w:val="28"/>
        </w:rPr>
        <w:t>五、一</w:t>
      </w:r>
      <w:r>
        <w:rPr>
          <w:rStyle w:val="13"/>
          <w:rFonts w:hint="eastAsia" w:ascii="仿宋" w:hAnsi="仿宋" w:eastAsia="仿宋" w:cstheme="majorBidi"/>
          <w:bCs/>
          <w:sz w:val="28"/>
          <w:szCs w:val="28"/>
        </w:rPr>
        <w:t>般公共预算财政拨款支出决算情况说明</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8"/>
        <w:rPr>
          <w:rFonts w:ascii="仿宋" w:hAnsi="仿宋" w:eastAsia="仿宋" w:cstheme="minorBidi"/>
          <w:sz w:val="28"/>
          <w:szCs w:val="28"/>
        </w:rPr>
      </w:pPr>
      <w:r>
        <w:fldChar w:fldCharType="begin"/>
      </w:r>
      <w:r>
        <w:instrText xml:space="preserve"> HYPERLINK \l "_Toc15396608" </w:instrText>
      </w:r>
      <w:r>
        <w:fldChar w:fldCharType="separate"/>
      </w:r>
      <w:r>
        <w:rPr>
          <w:rStyle w:val="13"/>
          <w:rFonts w:hint="eastAsia" w:ascii="仿宋" w:hAnsi="仿宋" w:eastAsia="仿宋"/>
          <w:sz w:val="28"/>
          <w:szCs w:val="28"/>
        </w:rPr>
        <w:t>六、一</w:t>
      </w:r>
      <w:r>
        <w:rPr>
          <w:rStyle w:val="13"/>
          <w:rFonts w:hint="eastAsia" w:ascii="仿宋" w:hAnsi="仿宋" w:eastAsia="仿宋" w:cstheme="majorBidi"/>
          <w:bCs/>
          <w:sz w:val="28"/>
          <w:szCs w:val="28"/>
        </w:rPr>
        <w:t>般公共预算财政拨款基本支出决算情况说明</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8"/>
        <w:rPr>
          <w:rFonts w:ascii="仿宋" w:hAnsi="仿宋" w:eastAsia="仿宋" w:cstheme="minorBidi"/>
          <w:sz w:val="28"/>
          <w:szCs w:val="28"/>
        </w:rPr>
      </w:pPr>
      <w:r>
        <w:fldChar w:fldCharType="begin"/>
      </w:r>
      <w:r>
        <w:instrText xml:space="preserve"> HYPERLINK \l "_Toc15396609" </w:instrText>
      </w:r>
      <w:r>
        <w:fldChar w:fldCharType="separate"/>
      </w:r>
      <w:r>
        <w:rPr>
          <w:rStyle w:val="13"/>
          <w:rFonts w:hint="eastAsia" w:ascii="仿宋" w:hAnsi="仿宋" w:eastAsia="仿宋"/>
          <w:sz w:val="28"/>
          <w:szCs w:val="28"/>
        </w:rPr>
        <w:t>七、</w:t>
      </w:r>
      <w:r>
        <w:rPr>
          <w:rStyle w:val="13"/>
          <w:rFonts w:ascii="仿宋" w:hAnsi="仿宋" w:eastAsia="仿宋"/>
          <w:sz w:val="28"/>
          <w:szCs w:val="28"/>
        </w:rPr>
        <w:t>“</w:t>
      </w:r>
      <w:r>
        <w:rPr>
          <w:rStyle w:val="13"/>
          <w:rFonts w:hint="eastAsia" w:ascii="仿宋" w:hAnsi="仿宋" w:eastAsia="仿宋" w:cstheme="majorBidi"/>
          <w:bCs/>
          <w:sz w:val="28"/>
          <w:szCs w:val="28"/>
        </w:rPr>
        <w:t>三公”经费财政拨款支出决算情况说明</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8"/>
        <w:rPr>
          <w:rFonts w:ascii="仿宋" w:hAnsi="仿宋" w:eastAsia="仿宋" w:cstheme="minorBidi"/>
          <w:sz w:val="28"/>
          <w:szCs w:val="28"/>
        </w:rPr>
      </w:pPr>
      <w:r>
        <w:fldChar w:fldCharType="begin"/>
      </w:r>
      <w:r>
        <w:instrText xml:space="preserve"> HYPERLINK \l "_Toc15396610" </w:instrText>
      </w:r>
      <w:r>
        <w:fldChar w:fldCharType="separate"/>
      </w:r>
      <w:r>
        <w:rPr>
          <w:rStyle w:val="13"/>
          <w:rFonts w:hint="eastAsia" w:ascii="仿宋" w:hAnsi="仿宋" w:eastAsia="仿宋"/>
          <w:sz w:val="28"/>
          <w:szCs w:val="28"/>
        </w:rPr>
        <w:t>八、</w:t>
      </w:r>
      <w:r>
        <w:rPr>
          <w:rStyle w:val="13"/>
          <w:rFonts w:hint="eastAsia" w:ascii="仿宋" w:hAnsi="仿宋" w:eastAsia="仿宋" w:cstheme="majorBidi"/>
          <w:bCs/>
          <w:sz w:val="28"/>
          <w:szCs w:val="28"/>
        </w:rPr>
        <w:t>政府性基金预算支出决算情况说明</w:t>
      </w:r>
      <w:r>
        <w:rPr>
          <w:rFonts w:ascii="仿宋" w:hAnsi="仿宋" w:eastAsia="仿宋"/>
          <w:sz w:val="28"/>
          <w:szCs w:val="28"/>
        </w:rPr>
        <w:fldChar w:fldCharType="end"/>
      </w:r>
      <w:r>
        <w:rPr>
          <w:rFonts w:hint="eastAsia" w:ascii="仿宋" w:hAnsi="仿宋" w:eastAsia="仿宋"/>
          <w:sz w:val="28"/>
          <w:szCs w:val="28"/>
          <w:lang w:val="en-US" w:eastAsia="zh-CN"/>
        </w:rPr>
        <w:t>..................(10)</w:t>
      </w:r>
    </w:p>
    <w:p>
      <w:pPr>
        <w:pStyle w:val="8"/>
        <w:rPr>
          <w:rFonts w:ascii="仿宋" w:hAnsi="仿宋" w:eastAsia="仿宋" w:cstheme="minorBidi"/>
          <w:sz w:val="28"/>
          <w:szCs w:val="28"/>
        </w:rPr>
      </w:pPr>
      <w:r>
        <w:fldChar w:fldCharType="begin"/>
      </w:r>
      <w:r>
        <w:instrText xml:space="preserve"> HYPERLINK \l "_Toc15396611" </w:instrText>
      </w:r>
      <w:r>
        <w:fldChar w:fldCharType="separate"/>
      </w:r>
      <w:r>
        <w:rPr>
          <w:rStyle w:val="13"/>
          <w:rFonts w:hint="eastAsia" w:ascii="仿宋" w:hAnsi="仿宋" w:eastAsia="仿宋" w:cstheme="majorBidi"/>
          <w:bCs/>
          <w:sz w:val="28"/>
          <w:szCs w:val="28"/>
        </w:rPr>
        <w:t>九、</w:t>
      </w:r>
      <w:r>
        <w:rPr>
          <w:rStyle w:val="13"/>
          <w:rFonts w:hint="eastAsia" w:ascii="仿宋" w:hAnsi="仿宋" w:eastAsia="仿宋"/>
          <w:sz w:val="28"/>
          <w:szCs w:val="28"/>
        </w:rPr>
        <w:t>国</w:t>
      </w:r>
      <w:r>
        <w:rPr>
          <w:rStyle w:val="13"/>
          <w:rFonts w:hint="eastAsia" w:ascii="仿宋" w:hAnsi="仿宋" w:eastAsia="仿宋" w:cstheme="majorBidi"/>
          <w:bCs/>
          <w:sz w:val="28"/>
          <w:szCs w:val="28"/>
        </w:rPr>
        <w:t>有资本经营预算支出决算情况说明</w:t>
      </w:r>
      <w:r>
        <w:rPr>
          <w:rFonts w:ascii="仿宋" w:hAnsi="仿宋" w:eastAsia="仿宋"/>
          <w:sz w:val="28"/>
          <w:szCs w:val="28"/>
        </w:rPr>
        <w:fldChar w:fldCharType="end"/>
      </w:r>
      <w:r>
        <w:rPr>
          <w:rFonts w:hint="eastAsia" w:ascii="仿宋" w:hAnsi="仿宋" w:eastAsia="仿宋"/>
          <w:sz w:val="28"/>
          <w:szCs w:val="28"/>
          <w:lang w:val="en-US" w:eastAsia="zh-CN"/>
        </w:rPr>
        <w:t>................(10)</w:t>
      </w:r>
    </w:p>
    <w:p>
      <w:pPr>
        <w:pStyle w:val="8"/>
        <w:rPr>
          <w:rFonts w:ascii="仿宋" w:hAnsi="仿宋" w:eastAsia="仿宋" w:cstheme="minorBidi"/>
          <w:sz w:val="28"/>
          <w:szCs w:val="28"/>
        </w:rPr>
      </w:pPr>
      <w:r>
        <w:fldChar w:fldCharType="begin"/>
      </w:r>
      <w:r>
        <w:instrText xml:space="preserve"> HYPERLINK \l "_Toc15396612" </w:instrText>
      </w:r>
      <w:r>
        <w:fldChar w:fldCharType="separate"/>
      </w:r>
      <w:r>
        <w:rPr>
          <w:rStyle w:val="13"/>
          <w:rFonts w:hint="eastAsia" w:ascii="仿宋" w:hAnsi="仿宋" w:eastAsia="仿宋"/>
          <w:sz w:val="28"/>
          <w:szCs w:val="28"/>
        </w:rPr>
        <w:t>十</w:t>
      </w:r>
      <w:r>
        <w:rPr>
          <w:rStyle w:val="13"/>
          <w:rFonts w:hint="eastAsia" w:ascii="仿宋" w:hAnsi="仿宋" w:eastAsia="仿宋" w:cstheme="majorBidi"/>
          <w:bCs/>
          <w:sz w:val="28"/>
          <w:szCs w:val="28"/>
        </w:rPr>
        <w:t>、其他重要事项的情况说明</w:t>
      </w:r>
      <w:r>
        <w:rPr>
          <w:rFonts w:ascii="仿宋" w:hAnsi="仿宋" w:eastAsia="仿宋"/>
          <w:sz w:val="28"/>
          <w:szCs w:val="28"/>
        </w:rPr>
        <w:fldChar w:fldCharType="end"/>
      </w:r>
      <w:r>
        <w:rPr>
          <w:rFonts w:hint="eastAsia" w:ascii="仿宋" w:hAnsi="仿宋" w:eastAsia="仿宋"/>
          <w:sz w:val="28"/>
          <w:szCs w:val="28"/>
          <w:lang w:val="en-US" w:eastAsia="zh-CN"/>
        </w:rPr>
        <w:t>..........................(10)</w:t>
      </w:r>
    </w:p>
    <w:p>
      <w:pPr>
        <w:pStyle w:val="7"/>
        <w:jc w:val="left"/>
        <w:rPr>
          <w:rFonts w:cstheme="minorBidi"/>
        </w:rPr>
      </w:pPr>
      <w:r>
        <w:fldChar w:fldCharType="begin"/>
      </w:r>
      <w:r>
        <w:instrText xml:space="preserve"> HYPERLINK \l "_Toc15396613" </w:instrText>
      </w:r>
      <w:r>
        <w:fldChar w:fldCharType="separate"/>
      </w:r>
      <w:r>
        <w:rPr>
          <w:rStyle w:val="13"/>
          <w:rFonts w:hint="eastAsia"/>
          <w:bCs/>
          <w:kern w:val="44"/>
        </w:rPr>
        <w:t>第三部分</w:t>
      </w:r>
      <w:r>
        <w:rPr>
          <w:rStyle w:val="13"/>
          <w:rFonts w:hint="eastAsia"/>
        </w:rPr>
        <w:t xml:space="preserve"> 名</w:t>
      </w:r>
      <w:r>
        <w:rPr>
          <w:rStyle w:val="13"/>
          <w:rFonts w:hint="eastAsia"/>
          <w:bCs/>
          <w:kern w:val="44"/>
        </w:rPr>
        <w:t>词解释</w:t>
      </w:r>
      <w:r>
        <w:fldChar w:fldCharType="end"/>
      </w:r>
      <w:r>
        <w:rPr>
          <w:rFonts w:hint="eastAsia" w:ascii="仿宋" w:hAnsi="仿宋" w:eastAsia="仿宋"/>
          <w:sz w:val="28"/>
          <w:szCs w:val="28"/>
          <w:lang w:val="en-US" w:eastAsia="zh-CN"/>
        </w:rPr>
        <w:t>......................................(12)</w:t>
      </w:r>
    </w:p>
    <w:p>
      <w:pPr>
        <w:pStyle w:val="7"/>
        <w:jc w:val="left"/>
        <w:rPr>
          <w:rFonts w:cstheme="minorBidi"/>
        </w:rPr>
      </w:pPr>
      <w:r>
        <w:fldChar w:fldCharType="begin"/>
      </w:r>
      <w:r>
        <w:instrText xml:space="preserve"> HYPERLINK \l "_Toc15396614" </w:instrText>
      </w:r>
      <w:r>
        <w:fldChar w:fldCharType="separate"/>
      </w:r>
      <w:r>
        <w:rPr>
          <w:rStyle w:val="13"/>
          <w:rFonts w:hint="eastAsia"/>
        </w:rPr>
        <w:t>第</w:t>
      </w:r>
      <w:r>
        <w:rPr>
          <w:rStyle w:val="13"/>
          <w:rFonts w:hint="eastAsia"/>
          <w:bCs/>
          <w:kern w:val="44"/>
        </w:rPr>
        <w:t>四部分附件</w:t>
      </w:r>
      <w:r>
        <w:fldChar w:fldCharType="end"/>
      </w:r>
      <w:r>
        <w:rPr>
          <w:rFonts w:hint="eastAsia" w:ascii="仿宋" w:hAnsi="仿宋" w:eastAsia="仿宋"/>
          <w:sz w:val="28"/>
          <w:szCs w:val="28"/>
          <w:lang w:val="en-US" w:eastAsia="zh-CN"/>
        </w:rPr>
        <w:t>...........................................(14)</w:t>
      </w:r>
    </w:p>
    <w:p>
      <w:pPr>
        <w:pStyle w:val="8"/>
        <w:rPr>
          <w:rFonts w:ascii="仿宋" w:hAnsi="仿宋" w:eastAsia="仿宋" w:cstheme="minorBidi"/>
          <w:sz w:val="28"/>
          <w:szCs w:val="28"/>
        </w:rPr>
      </w:pPr>
      <w:r>
        <w:fldChar w:fldCharType="begin"/>
      </w:r>
      <w:r>
        <w:instrText xml:space="preserve"> HYPERLINK \l "_Toc15396615"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1</w:t>
      </w:r>
      <w:r>
        <w:rPr>
          <w:rFonts w:ascii="仿宋" w:hAnsi="仿宋" w:eastAsia="仿宋"/>
          <w:sz w:val="28"/>
          <w:szCs w:val="28"/>
        </w:rPr>
        <w:fldChar w:fldCharType="end"/>
      </w:r>
    </w:p>
    <w:p>
      <w:pPr>
        <w:pStyle w:val="7"/>
        <w:jc w:val="left"/>
        <w:rPr>
          <w:rFonts w:cstheme="minorBidi"/>
        </w:rPr>
      </w:pPr>
      <w:r>
        <w:fldChar w:fldCharType="begin"/>
      </w:r>
      <w:r>
        <w:instrText xml:space="preserve"> HYPERLINK \l "_Toc15396618" </w:instrText>
      </w:r>
      <w:r>
        <w:fldChar w:fldCharType="separate"/>
      </w:r>
      <w:r>
        <w:rPr>
          <w:rStyle w:val="13"/>
          <w:rFonts w:hint="eastAsia"/>
        </w:rPr>
        <w:t>第</w:t>
      </w:r>
      <w:r>
        <w:rPr>
          <w:rStyle w:val="13"/>
          <w:rFonts w:hint="eastAsia"/>
          <w:bCs/>
          <w:kern w:val="44"/>
        </w:rPr>
        <w:t>五部分附表</w:t>
      </w:r>
      <w:r>
        <w:fldChar w:fldCharType="end"/>
      </w:r>
      <w:r>
        <w:rPr>
          <w:rFonts w:hint="eastAsia" w:ascii="仿宋" w:hAnsi="仿宋" w:eastAsia="仿宋"/>
          <w:sz w:val="28"/>
          <w:szCs w:val="28"/>
          <w:lang w:val="en-US" w:eastAsia="zh-CN"/>
        </w:rPr>
        <w:t>...........................................(20)</w:t>
      </w:r>
    </w:p>
    <w:p>
      <w:pPr>
        <w:pStyle w:val="8"/>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3"/>
          <w:rFonts w:hint="eastAsia" w:ascii="仿宋" w:hAnsi="仿宋" w:eastAsia="仿宋"/>
          <w:sz w:val="28"/>
          <w:szCs w:val="28"/>
        </w:rPr>
        <w:t>收入支出决算总表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3"/>
          <w:rFonts w:hint="eastAsia" w:ascii="仿宋" w:hAnsi="仿宋" w:eastAsia="仿宋"/>
          <w:sz w:val="28"/>
          <w:szCs w:val="28"/>
        </w:rPr>
        <w:t>收入总表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3"/>
          <w:rFonts w:hint="eastAsia" w:ascii="仿宋" w:hAnsi="仿宋" w:eastAsia="仿宋"/>
          <w:sz w:val="28"/>
          <w:szCs w:val="28"/>
        </w:rPr>
        <w:t>支出总表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3"/>
          <w:rFonts w:hint="eastAsia" w:ascii="仿宋" w:hAnsi="仿宋" w:eastAsia="仿宋"/>
          <w:sz w:val="28"/>
          <w:szCs w:val="28"/>
        </w:rPr>
        <w:t>财政拨款收入支出决算总表</w:t>
      </w:r>
      <w:r>
        <w:rPr>
          <w:rFonts w:ascii="仿宋" w:hAnsi="仿宋" w:eastAsia="仿宋"/>
          <w:sz w:val="28"/>
          <w:szCs w:val="28"/>
        </w:rPr>
        <w:fldChar w:fldCharType="end"/>
      </w:r>
    </w:p>
    <w:p>
      <w:pPr>
        <w:pStyle w:val="8"/>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3"/>
          <w:rFonts w:hint="eastAsia" w:ascii="仿宋" w:hAnsi="仿宋" w:eastAsia="仿宋"/>
          <w:sz w:val="28"/>
          <w:szCs w:val="28"/>
        </w:rPr>
        <w:t>一般公共预算财政拨款支出决算表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3"/>
          <w:rFonts w:hint="eastAsia" w:ascii="仿宋" w:hAnsi="仿宋" w:eastAsia="仿宋"/>
          <w:sz w:val="28"/>
          <w:szCs w:val="28"/>
        </w:rPr>
        <w:t>一般公共预算财政拨款支出决算明细表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3"/>
          <w:rFonts w:hint="eastAsia" w:ascii="仿宋" w:hAnsi="仿宋" w:eastAsia="仿宋"/>
          <w:sz w:val="28"/>
          <w:szCs w:val="28"/>
        </w:rPr>
        <w:t>一般公共预算财政拨款基本支出决算表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3"/>
          <w:rFonts w:hint="eastAsia" w:ascii="仿宋" w:hAnsi="仿宋" w:eastAsia="仿宋"/>
          <w:sz w:val="28"/>
          <w:szCs w:val="28"/>
        </w:rPr>
        <w:t>一般公共预算财政拨款项目支出决算表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3"/>
          <w:rFonts w:hint="eastAsia" w:ascii="仿宋" w:hAnsi="仿宋" w:eastAsia="仿宋"/>
          <w:sz w:val="28"/>
          <w:szCs w:val="28"/>
        </w:rPr>
        <w:t>一般公共预算财政拨款“三公”经费支出决算表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3"/>
          <w:rFonts w:hint="eastAsia" w:ascii="仿宋" w:hAnsi="仿宋" w:eastAsia="仿宋"/>
          <w:sz w:val="28"/>
          <w:szCs w:val="28"/>
        </w:rPr>
        <w:t>政府性基金预算财政拨款收入支出决算表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3"/>
          <w:rFonts w:hint="eastAsia" w:ascii="仿宋" w:hAnsi="仿宋" w:eastAsia="仿宋"/>
          <w:sz w:val="28"/>
          <w:szCs w:val="28"/>
        </w:rPr>
        <w:t>政府性基金预算财政拨款“三公”经费支出决算表</w:t>
      </w:r>
      <w:r>
        <w:rPr>
          <w:rFonts w:ascii="仿宋" w:hAnsi="仿宋" w:eastAsia="仿宋"/>
          <w:sz w:val="28"/>
          <w:szCs w:val="28"/>
        </w:rPr>
        <w:fldChar w:fldCharType="end"/>
      </w:r>
    </w:p>
    <w:p>
      <w:pPr>
        <w:pStyle w:val="8"/>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3"/>
          <w:rFonts w:hint="eastAsia" w:ascii="仿宋" w:hAnsi="仿宋" w:eastAsia="仿宋"/>
          <w:sz w:val="28"/>
          <w:szCs w:val="28"/>
        </w:rPr>
        <w:t>国有资本经营预算支出决算表</w:t>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1" w:name="_Toc15377196"/>
      <w:bookmarkStart w:id="12" w:name="_Toc15396599"/>
      <w:r>
        <w:rPr>
          <w:rFonts w:ascii="黑体" w:hAnsi="黑体" w:eastAsia="黑体"/>
          <w:b/>
        </w:rPr>
        <w:br w:type="page"/>
      </w:r>
    </w:p>
    <w:p>
      <w:pPr>
        <w:pStyle w:val="2"/>
        <w:jc w:val="center"/>
        <w:rPr>
          <w:rStyle w:val="14"/>
          <w:rFonts w:ascii="黑体" w:hAnsi="黑体" w:eastAsia="黑体"/>
          <w:b/>
          <w:bCs w:val="0"/>
        </w:rPr>
      </w:pPr>
      <w:r>
        <w:rPr>
          <w:rFonts w:hint="eastAsia" w:ascii="黑体" w:hAnsi="黑体" w:eastAsia="黑体"/>
          <w:b w:val="0"/>
        </w:rPr>
        <w:t xml:space="preserve">第一部分 </w:t>
      </w:r>
      <w:r>
        <w:rPr>
          <w:rStyle w:val="14"/>
          <w:rFonts w:hint="eastAsia" w:ascii="黑体" w:hAnsi="黑体" w:eastAsia="黑体"/>
          <w:b w:val="0"/>
          <w:bCs w:val="0"/>
        </w:rPr>
        <w:t>部门概况</w:t>
      </w:r>
      <w:bookmarkEnd w:id="11"/>
      <w:bookmarkEnd w:id="12"/>
    </w:p>
    <w:p>
      <w:pPr>
        <w:pStyle w:val="3"/>
        <w:pageBreakBefore w:val="0"/>
        <w:kinsoku/>
        <w:wordWrap/>
        <w:overflowPunct/>
        <w:topLinePunct w:val="0"/>
        <w:autoSpaceDE/>
        <w:autoSpaceDN/>
        <w:bidi w:val="0"/>
        <w:spacing w:line="520" w:lineRule="exact"/>
        <w:textAlignment w:val="auto"/>
        <w:rPr>
          <w:rStyle w:val="15"/>
          <w:rFonts w:ascii="仿宋" w:hAnsi="仿宋" w:eastAsia="仿宋"/>
          <w:b w:val="0"/>
          <w:bCs w:val="0"/>
        </w:rPr>
      </w:pPr>
      <w:bookmarkStart w:id="13" w:name="_Toc15396600"/>
      <w:bookmarkStart w:id="14" w:name="_Toc15377197"/>
      <w:r>
        <w:rPr>
          <w:rFonts w:hint="eastAsia" w:ascii="黑体" w:hAnsi="黑体" w:eastAsia="黑体"/>
          <w:b w:val="0"/>
          <w:color w:val="000000"/>
        </w:rPr>
        <w:t>一、基</w:t>
      </w:r>
      <w:r>
        <w:rPr>
          <w:rStyle w:val="15"/>
          <w:rFonts w:hint="eastAsia" w:ascii="黑体" w:hAnsi="黑体" w:eastAsia="黑体"/>
          <w:b w:val="0"/>
          <w:bCs w:val="0"/>
        </w:rPr>
        <w:t>本职能及主要工作</w:t>
      </w:r>
      <w:bookmarkEnd w:id="13"/>
      <w:bookmarkEnd w:id="14"/>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（一）</w:t>
      </w:r>
      <w:r>
        <w:rPr>
          <w:rFonts w:hint="eastAsia" w:ascii="仿宋_GB2312" w:hAnsi="仿宋_GB2312" w:eastAsia="仿宋_GB2312" w:cs="仿宋_GB2312"/>
          <w:bCs/>
          <w:sz w:val="32"/>
          <w:szCs w:val="32"/>
        </w:rPr>
        <w:t>卫生院基本职能：</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1、负责平地镇的卫生工作法律、法规、政策的贯彻，卫生事业发展规划和工作计划的制订，社会公共卫生工作的组织和实施；</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2、负责</w:t>
      </w:r>
      <w:r>
        <w:rPr>
          <w:rFonts w:hint="eastAsia" w:ascii="仿宋_GB2312" w:hAnsi="仿宋_GB2312" w:eastAsia="仿宋_GB2312" w:cs="仿宋_GB2312"/>
          <w:bCs/>
          <w:sz w:val="32"/>
          <w:szCs w:val="32"/>
        </w:rPr>
        <w:t>辖区居民</w:t>
      </w:r>
      <w:r>
        <w:rPr>
          <w:rFonts w:hint="eastAsia" w:ascii="仿宋_GB2312" w:hAnsi="仿宋_GB2312" w:eastAsia="仿宋_GB2312" w:cs="仿宋_GB2312"/>
          <w:color w:val="333333"/>
          <w:sz w:val="32"/>
          <w:szCs w:val="32"/>
          <w:shd w:val="clear" w:color="auto" w:fill="FFFFFF"/>
        </w:rPr>
        <w:t>的基本医疗服务</w:t>
      </w:r>
      <w:r>
        <w:rPr>
          <w:rFonts w:hint="eastAsia" w:ascii="仿宋_GB2312" w:hAnsi="仿宋_GB2312" w:eastAsia="仿宋_GB2312" w:cs="仿宋_GB2312"/>
          <w:bCs/>
          <w:color w:val="000000"/>
          <w:sz w:val="32"/>
          <w:szCs w:val="32"/>
        </w:rPr>
        <w:t>、基本公共卫生服务、卫生监督协管服务、</w:t>
      </w:r>
      <w:r>
        <w:rPr>
          <w:rFonts w:hint="eastAsia" w:ascii="仿宋_GB2312" w:hAnsi="仿宋_GB2312" w:eastAsia="仿宋_GB2312" w:cs="仿宋_GB2312"/>
          <w:bCs/>
          <w:sz w:val="32"/>
          <w:szCs w:val="32"/>
        </w:rPr>
        <w:t>计划生育健康指导服务、</w:t>
      </w:r>
      <w:r>
        <w:rPr>
          <w:rFonts w:hint="eastAsia" w:ascii="仿宋_GB2312" w:hAnsi="仿宋_GB2312" w:eastAsia="仿宋_GB2312" w:cs="仿宋_GB2312"/>
          <w:bCs/>
          <w:color w:val="000000"/>
          <w:sz w:val="32"/>
          <w:szCs w:val="32"/>
        </w:rPr>
        <w:t>卫生行政管理职能</w:t>
      </w:r>
      <w:r>
        <w:rPr>
          <w:rFonts w:hint="eastAsia" w:ascii="仿宋_GB2312" w:hAnsi="仿宋_GB2312" w:eastAsia="仿宋_GB2312" w:cs="仿宋_GB2312"/>
          <w:color w:val="333333"/>
          <w:sz w:val="32"/>
          <w:szCs w:val="32"/>
          <w:shd w:val="clear" w:color="auto" w:fill="FFFFFF"/>
        </w:rPr>
        <w:t>；</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3、负责本乡镇突发公共卫生事件的报告，并依据上级部门要求组织实施处置；</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4、负责本乡镇辖区内的卫生信息统计、分析、上报；</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5、负责对本乡镇辖区内村级卫生组织和乡村医生的业务指导和培训；</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6、负责承办政府卫生行政部门委托的相关业务或事项；  </w:t>
      </w:r>
    </w:p>
    <w:p>
      <w:pPr>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333333"/>
          <w:sz w:val="32"/>
          <w:szCs w:val="32"/>
          <w:shd w:val="clear" w:color="auto" w:fill="FFFFFF"/>
        </w:rPr>
        <w:t>7、负责上级卫生行政部门下达的其他工作。</w:t>
      </w:r>
      <w:r>
        <w:rPr>
          <w:rFonts w:hint="eastAsia" w:ascii="仿宋_GB2312" w:hAnsi="仿宋_GB2312" w:eastAsia="仿宋_GB2312" w:cs="仿宋_GB2312"/>
          <w:bCs/>
          <w:color w:val="000000"/>
          <w:sz w:val="32"/>
          <w:szCs w:val="32"/>
        </w:rPr>
        <w:t>主要工作是搞好基本公共卫生和基本医疗。</w:t>
      </w:r>
    </w:p>
    <w:p>
      <w:pPr>
        <w:pStyle w:val="4"/>
        <w:pageBreakBefore w:val="0"/>
        <w:kinsoku/>
        <w:wordWrap/>
        <w:overflowPunct/>
        <w:topLinePunct w:val="0"/>
        <w:autoSpaceDE/>
        <w:autoSpaceDN/>
        <w:bidi w:val="0"/>
        <w:adjustRightInd w:val="0"/>
        <w:snapToGrid w:val="0"/>
        <w:spacing w:before="0" w:beforeLines="0" w:line="520" w:lineRule="exact"/>
        <w:ind w:firstLine="672" w:firstLineChars="210"/>
        <w:textAlignment w:val="auto"/>
        <w:rPr>
          <w:rFonts w:hint="eastAsia"/>
          <w:bCs/>
          <w:sz w:val="32"/>
          <w:szCs w:val="32"/>
        </w:rPr>
      </w:pPr>
      <w:r>
        <w:rPr>
          <w:rFonts w:hint="eastAsia"/>
          <w:bCs/>
          <w:color w:val="000000"/>
          <w:sz w:val="32"/>
          <w:szCs w:val="32"/>
        </w:rPr>
        <w:t>（二）</w:t>
      </w:r>
      <w:r>
        <w:rPr>
          <w:rFonts w:hint="eastAsia"/>
          <w:bCs/>
          <w:sz w:val="32"/>
          <w:szCs w:val="32"/>
        </w:rPr>
        <w:t>2018年重点工作</w:t>
      </w:r>
      <w:r>
        <w:rPr>
          <w:rFonts w:hint="eastAsia"/>
          <w:bCs/>
          <w:sz w:val="32"/>
          <w:szCs w:val="32"/>
          <w:lang w:eastAsia="zh-CN"/>
        </w:rPr>
        <w:t>完成情况</w:t>
      </w:r>
      <w:r>
        <w:rPr>
          <w:rFonts w:hint="eastAsia"/>
          <w:bCs/>
          <w:sz w:val="32"/>
          <w:szCs w:val="32"/>
        </w:rPr>
        <w:t>：</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（1）</w:t>
      </w:r>
      <w:r>
        <w:rPr>
          <w:rFonts w:hint="eastAsia"/>
          <w:sz w:val="32"/>
          <w:szCs w:val="32"/>
        </w:rPr>
        <w:t>全面建立覆盖全乡居民的基本医疗卫生服务制度，加强医疗卫生服务质量、服务效率和群众满意度的评价，切实解决看病难问题;</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（2）</w:t>
      </w:r>
      <w:r>
        <w:rPr>
          <w:rFonts w:hint="eastAsia"/>
          <w:sz w:val="32"/>
          <w:szCs w:val="32"/>
        </w:rPr>
        <w:t>建立分工明确、信息互通、资源共享、协调互动的基本公共卫生服务体系，促进全乡居民享有均等化的基本公共卫生服务工作顺利开展;</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（3）</w:t>
      </w:r>
      <w:r>
        <w:rPr>
          <w:rFonts w:hint="eastAsia"/>
          <w:sz w:val="32"/>
          <w:szCs w:val="32"/>
        </w:rPr>
        <w:t>加强业务培训和卫生宣传教育，加大对辖区内的卫生监督协管力度;</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（4）</w:t>
      </w:r>
      <w:r>
        <w:rPr>
          <w:rFonts w:hint="eastAsia"/>
          <w:sz w:val="32"/>
          <w:szCs w:val="32"/>
        </w:rPr>
        <w:t>以国家基本药物制度为基础的药品器械供应保障体系进一步规范，确保基本药物安全有效、公平可及、合理使用;</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（5）</w:t>
      </w:r>
      <w:r>
        <w:rPr>
          <w:rFonts w:hint="eastAsia"/>
          <w:sz w:val="32"/>
          <w:szCs w:val="32"/>
        </w:rPr>
        <w:t>加强卫生院软硬件设施设备建设，使卫生院业务更加合理化、人性化，等人性化服务设施;</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（6）</w:t>
      </w:r>
      <w:r>
        <w:rPr>
          <w:rFonts w:hint="eastAsia"/>
          <w:sz w:val="32"/>
          <w:szCs w:val="32"/>
        </w:rPr>
        <w:t>大力发展祖国医学，弘扬中医传统，努力搭建中医馆，强力推进中医适宜技术在临床上的应用，尽可能满足辖区内患者的就医诉求;</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bCs/>
          <w:sz w:val="32"/>
          <w:szCs w:val="32"/>
        </w:rPr>
      </w:pPr>
      <w:r>
        <w:rPr>
          <w:rFonts w:hint="eastAsia"/>
          <w:b/>
          <w:sz w:val="32"/>
          <w:szCs w:val="32"/>
        </w:rPr>
        <w:t>（7）</w:t>
      </w:r>
      <w:r>
        <w:rPr>
          <w:rFonts w:hint="eastAsia"/>
          <w:sz w:val="32"/>
          <w:szCs w:val="32"/>
        </w:rPr>
        <w:t>培养一支留得住、用得上、满足群众健康需求、技术过硬的基础医疗卫生人才队伍</w:t>
      </w:r>
      <w:r>
        <w:rPr>
          <w:rFonts w:hint="eastAsia"/>
          <w:bCs/>
          <w:sz w:val="32"/>
          <w:szCs w:val="32"/>
        </w:rPr>
        <w:t>。</w:t>
      </w:r>
    </w:p>
    <w:p>
      <w:pPr>
        <w:pStyle w:val="3"/>
        <w:pageBreakBefore w:val="0"/>
        <w:kinsoku/>
        <w:wordWrap/>
        <w:overflowPunct/>
        <w:topLinePunct w:val="0"/>
        <w:autoSpaceDE/>
        <w:autoSpaceDN/>
        <w:bidi w:val="0"/>
        <w:spacing w:line="520" w:lineRule="exact"/>
        <w:ind w:firstLine="640" w:firstLineChars="200"/>
        <w:textAlignment w:val="auto"/>
        <w:rPr>
          <w:rStyle w:val="15"/>
          <w:b w:val="0"/>
          <w:bCs w:val="0"/>
        </w:rPr>
      </w:pPr>
      <w:bookmarkStart w:id="15" w:name="_Toc15396601"/>
      <w:bookmarkStart w:id="16" w:name="_Toc15377200"/>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15"/>
      <w:bookmarkEnd w:id="16"/>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eastAsia" w:ascii="仿宋_GB2312" w:eastAsia="仿宋_GB2312"/>
          <w:kern w:val="2"/>
          <w:sz w:val="32"/>
          <w:szCs w:val="32"/>
        </w:rPr>
      </w:pPr>
      <w:r>
        <w:rPr>
          <w:rFonts w:hint="eastAsia" w:ascii="仿宋_GB2312" w:eastAsia="仿宋_GB2312"/>
          <w:kern w:val="2"/>
          <w:sz w:val="32"/>
          <w:szCs w:val="32"/>
        </w:rPr>
        <w:t>（一）部门决算单位构成</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eastAsia" w:ascii="仿宋_GB2312" w:eastAsia="仿宋_GB2312"/>
          <w:kern w:val="2"/>
          <w:sz w:val="32"/>
          <w:szCs w:val="32"/>
        </w:rPr>
      </w:pPr>
      <w:r>
        <w:rPr>
          <w:rFonts w:hint="eastAsia" w:ascii="仿宋_GB2312" w:eastAsia="仿宋_GB2312"/>
          <w:kern w:val="2"/>
          <w:sz w:val="32"/>
          <w:szCs w:val="32"/>
        </w:rPr>
        <w:t>仁和区平地中心卫生院部门2018年度部门决算编报的单位共1个。其中：行政单位0个，事业单位1个，其他单位0个。</w:t>
      </w:r>
    </w:p>
    <w:p>
      <w:pPr>
        <w:pStyle w:val="9"/>
        <w:pageBreakBefore w:val="0"/>
        <w:widowControl/>
        <w:numPr>
          <w:ilvl w:val="0"/>
          <w:numId w:val="1"/>
        </w:numPr>
        <w:shd w:val="clear" w:color="auto" w:fill="FFFFFF"/>
        <w:kinsoku/>
        <w:wordWrap/>
        <w:overflowPunct/>
        <w:topLinePunct w:val="0"/>
        <w:autoSpaceDE/>
        <w:autoSpaceDN/>
        <w:bidi w:val="0"/>
        <w:spacing w:beforeAutospacing="0" w:afterAutospacing="0" w:line="520" w:lineRule="exact"/>
        <w:ind w:firstLine="600"/>
        <w:textAlignment w:val="auto"/>
        <w:rPr>
          <w:rFonts w:ascii="仿宋_GB2312" w:eastAsia="仿宋_GB2312"/>
          <w:kern w:val="2"/>
          <w:sz w:val="32"/>
          <w:szCs w:val="32"/>
        </w:rPr>
      </w:pPr>
      <w:r>
        <w:rPr>
          <w:rFonts w:ascii="仿宋_GB2312" w:eastAsia="仿宋_GB2312"/>
          <w:kern w:val="2"/>
          <w:sz w:val="32"/>
          <w:szCs w:val="32"/>
        </w:rPr>
        <w:t>部门人员和车辆的编制及实有情况 </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ascii="仿宋_GB2312" w:eastAsia="仿宋_GB2312"/>
          <w:kern w:val="2"/>
          <w:sz w:val="32"/>
          <w:szCs w:val="32"/>
        </w:rPr>
      </w:pPr>
      <w:r>
        <w:rPr>
          <w:rFonts w:hint="eastAsia" w:ascii="仿宋_GB2312" w:eastAsia="仿宋_GB2312"/>
          <w:kern w:val="2"/>
          <w:sz w:val="32"/>
          <w:szCs w:val="32"/>
        </w:rPr>
        <w:t>仁和区平地中心卫生院部门2018年末实有在岗人员29人。其中：事业编制17人，临聘人员12人。</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eastAsia" w:ascii="仿宋_GB2312" w:eastAsia="仿宋_GB2312"/>
          <w:kern w:val="2"/>
          <w:sz w:val="32"/>
          <w:szCs w:val="32"/>
        </w:rPr>
      </w:pPr>
      <w:r>
        <w:rPr>
          <w:rFonts w:hint="eastAsia" w:ascii="仿宋_GB2312" w:eastAsia="仿宋_GB2312"/>
          <w:kern w:val="2"/>
          <w:sz w:val="32"/>
          <w:szCs w:val="32"/>
        </w:rPr>
        <w:t>离退休人员5人。其中：离休0人，退休5人。</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eastAsia" w:ascii="仿宋_GB2312" w:eastAsia="仿宋_GB2312"/>
          <w:kern w:val="2"/>
          <w:sz w:val="32"/>
          <w:szCs w:val="32"/>
        </w:rPr>
      </w:pPr>
      <w:r>
        <w:rPr>
          <w:rFonts w:hint="eastAsia" w:ascii="仿宋_GB2312" w:eastAsia="仿宋_GB2312"/>
          <w:kern w:val="2"/>
          <w:sz w:val="32"/>
          <w:szCs w:val="32"/>
        </w:rPr>
        <w:t>实有车辆1辆。越野车一辆。</w:t>
      </w:r>
    </w:p>
    <w:p>
      <w:pPr>
        <w:pStyle w:val="2"/>
        <w:ind w:right="440"/>
        <w:jc w:val="right"/>
        <w:rPr>
          <w:rStyle w:val="14"/>
          <w:rFonts w:hint="eastAsia" w:ascii="黑体" w:hAnsi="黑体" w:eastAsia="黑体"/>
          <w:b w:val="0"/>
          <w:bCs w:val="0"/>
        </w:rPr>
      </w:pPr>
      <w:bookmarkStart w:id="17" w:name="_Toc15396602"/>
      <w:bookmarkStart w:id="18" w:name="_Toc15377204"/>
      <w:r>
        <w:rPr>
          <w:rFonts w:hint="eastAsia" w:ascii="黑体" w:hAnsi="黑体" w:eastAsia="黑体"/>
          <w:b w:val="0"/>
          <w:color w:val="000000"/>
        </w:rPr>
        <w:t>第二部分</w:t>
      </w:r>
      <w:r>
        <w:rPr>
          <w:rStyle w:val="14"/>
          <w:rFonts w:hint="eastAsia" w:ascii="黑体" w:hAnsi="黑体" w:eastAsia="黑体"/>
          <w:b w:val="0"/>
          <w:bCs w:val="0"/>
        </w:rPr>
        <w:t>2018年度部门决算情况说明</w:t>
      </w:r>
      <w:bookmarkEnd w:id="17"/>
      <w:bookmarkEnd w:id="18"/>
    </w:p>
    <w:p>
      <w:pPr>
        <w:pStyle w:val="16"/>
        <w:numPr>
          <w:ilvl w:val="0"/>
          <w:numId w:val="0"/>
        </w:numPr>
        <w:spacing w:line="600" w:lineRule="exact"/>
        <w:ind w:left="640" w:leftChars="0"/>
        <w:outlineLvl w:val="1"/>
        <w:rPr>
          <w:rStyle w:val="15"/>
          <w:rFonts w:ascii="黑体" w:hAnsi="黑体" w:eastAsia="黑体"/>
          <w:b w:val="0"/>
        </w:rPr>
      </w:pPr>
      <w:r>
        <w:rPr>
          <w:rFonts w:hint="eastAsia" w:ascii="黑体" w:hAnsi="黑体" w:eastAsia="黑体" w:cs="黑体"/>
          <w:sz w:val="32"/>
          <w:szCs w:val="32"/>
          <w:lang w:val="en-US" w:eastAsia="zh-CN"/>
        </w:rPr>
        <w:t>一、</w:t>
      </w:r>
      <w:bookmarkStart w:id="19" w:name="_Toc15396603"/>
      <w:bookmarkStart w:id="20" w:name="_Toc15377205"/>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19"/>
      <w:bookmarkEnd w:id="20"/>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2018年度收、支总计</w:t>
      </w:r>
      <w:r>
        <w:rPr>
          <w:rFonts w:hint="eastAsia" w:ascii="仿宋_GB2312" w:hAnsi="仿宋_GB2312" w:eastAsia="仿宋_GB2312" w:cs="仿宋_GB2312"/>
          <w:color w:val="000000"/>
          <w:sz w:val="32"/>
          <w:szCs w:val="32"/>
          <w:lang w:val="en-US" w:eastAsia="zh-CN"/>
        </w:rPr>
        <w:t>1176.70</w:t>
      </w:r>
      <w:r>
        <w:rPr>
          <w:rFonts w:hint="eastAsia" w:ascii="仿宋_GB2312" w:hAnsi="仿宋_GB2312" w:eastAsia="仿宋_GB2312" w:cs="仿宋_GB2312"/>
          <w:color w:val="000000"/>
          <w:sz w:val="32"/>
          <w:szCs w:val="32"/>
        </w:rPr>
        <w:t>万元。</w:t>
      </w:r>
    </w:p>
    <w:p>
      <w:pPr>
        <w:spacing w:line="600" w:lineRule="exact"/>
        <w:ind w:firstLine="420" w:firstLineChars="200"/>
        <w:rPr>
          <w:rFonts w:hint="eastAsia" w:ascii="仿宋_GB2312" w:hAnsi="仿宋_GB2312" w:eastAsia="仿宋_GB2312" w:cs="仿宋_GB2312"/>
          <w:color w:val="000000"/>
          <w:sz w:val="32"/>
          <w:szCs w:val="32"/>
        </w:rPr>
      </w:pPr>
      <w:r>
        <w:drawing>
          <wp:anchor distT="0" distB="0" distL="114300" distR="114300" simplePos="0" relativeHeight="251663360" behindDoc="1" locked="0" layoutInCell="1" allowOverlap="1">
            <wp:simplePos x="0" y="0"/>
            <wp:positionH relativeFrom="column">
              <wp:posOffset>1004570</wp:posOffset>
            </wp:positionH>
            <wp:positionV relativeFrom="page">
              <wp:posOffset>2481580</wp:posOffset>
            </wp:positionV>
            <wp:extent cx="3162300" cy="1704975"/>
            <wp:effectExtent l="4445" t="4445" r="14605" b="62230"/>
            <wp:wrapTight wrapText="bothSides">
              <wp:wrapPolygon>
                <wp:start x="-30" y="-56"/>
                <wp:lineTo x="-30" y="21423"/>
                <wp:lineTo x="21570" y="21423"/>
                <wp:lineTo x="21570" y="-56"/>
                <wp:lineTo x="-30" y="-56"/>
              </wp:wrapPolygon>
            </wp:wrapTight>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lang w:val="en-US" w:eastAsia="zh-CN"/>
        </w:rPr>
      </w:pPr>
    </w:p>
    <w:p>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二、收入决算情况说明</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2018年平地中心卫生院</w:t>
      </w:r>
      <w:r>
        <w:rPr>
          <w:rFonts w:hint="eastAsia" w:ascii="仿宋_GB2312" w:eastAsia="仿宋_GB2312"/>
          <w:sz w:val="32"/>
          <w:szCs w:val="32"/>
        </w:rPr>
        <w:t>收入决算总额为</w:t>
      </w:r>
      <w:r>
        <w:rPr>
          <w:rFonts w:hint="eastAsia" w:ascii="仿宋_GB2312" w:eastAsia="仿宋_GB2312"/>
          <w:sz w:val="32"/>
          <w:szCs w:val="32"/>
          <w:lang w:val="en-US" w:eastAsia="zh-CN"/>
        </w:rPr>
        <w:t>636.95</w:t>
      </w:r>
      <w:r>
        <w:rPr>
          <w:rFonts w:hint="eastAsia" w:ascii="仿宋_GB2312" w:eastAsia="仿宋_GB2312"/>
          <w:sz w:val="32"/>
          <w:szCs w:val="32"/>
        </w:rPr>
        <w:t>万元，其中：当年</w:t>
      </w:r>
      <w:r>
        <w:rPr>
          <w:rFonts w:hint="eastAsia" w:ascii="仿宋_GB2312" w:eastAsia="仿宋_GB2312"/>
          <w:sz w:val="32"/>
          <w:szCs w:val="32"/>
          <w:lang w:eastAsia="zh-CN"/>
        </w:rPr>
        <w:t>一般</w:t>
      </w:r>
      <w:r>
        <w:rPr>
          <w:rFonts w:hint="eastAsia" w:ascii="仿宋_GB2312" w:eastAsia="仿宋_GB2312"/>
          <w:sz w:val="32"/>
          <w:szCs w:val="32"/>
        </w:rPr>
        <w:t>财政拨款收入342.48万元，事业收入280.70万元，其他收入13.77万元。</w:t>
      </w:r>
    </w:p>
    <w:p>
      <w:pPr>
        <w:spacing w:line="520" w:lineRule="exact"/>
        <w:ind w:firstLine="420" w:firstLineChars="200"/>
        <w:rPr>
          <w:rFonts w:hint="eastAsia" w:ascii="仿宋_GB2312" w:eastAsia="仿宋_GB2312"/>
          <w:sz w:val="32"/>
          <w:szCs w:val="32"/>
        </w:rPr>
      </w:pPr>
      <w:r>
        <w:drawing>
          <wp:anchor distT="0" distB="0" distL="114300" distR="114300" simplePos="0" relativeHeight="251662336" behindDoc="0" locked="0" layoutInCell="1" allowOverlap="1">
            <wp:simplePos x="0" y="0"/>
            <wp:positionH relativeFrom="column">
              <wp:posOffset>852170</wp:posOffset>
            </wp:positionH>
            <wp:positionV relativeFrom="page">
              <wp:posOffset>6000750</wp:posOffset>
            </wp:positionV>
            <wp:extent cx="3687445" cy="2011045"/>
            <wp:effectExtent l="4445" t="4445" r="22860" b="2286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三、支出决算情况说明</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2018年</w:t>
      </w:r>
      <w:r>
        <w:rPr>
          <w:rFonts w:hint="eastAsia" w:ascii="仿宋_GB2312" w:hAnsi="仿宋_GB2312" w:eastAsia="仿宋_GB2312" w:cs="仿宋_GB2312"/>
          <w:sz w:val="32"/>
          <w:szCs w:val="32"/>
        </w:rPr>
        <w:t>平地中心卫生院</w:t>
      </w:r>
      <w:r>
        <w:rPr>
          <w:rFonts w:hint="eastAsia" w:ascii="仿宋_GB2312" w:eastAsia="仿宋_GB2312"/>
          <w:sz w:val="32"/>
          <w:szCs w:val="32"/>
        </w:rPr>
        <w:t>支出决算总额为</w:t>
      </w:r>
      <w:r>
        <w:rPr>
          <w:rFonts w:hint="eastAsia" w:ascii="仿宋_GB2312" w:eastAsia="仿宋_GB2312"/>
          <w:sz w:val="32"/>
          <w:szCs w:val="32"/>
          <w:lang w:val="en-US" w:eastAsia="zh-CN"/>
        </w:rPr>
        <w:t>539.75</w:t>
      </w:r>
      <w:r>
        <w:rPr>
          <w:rFonts w:hint="eastAsia" w:ascii="仿宋_GB2312" w:eastAsia="仿宋_GB2312"/>
          <w:sz w:val="32"/>
          <w:szCs w:val="32"/>
        </w:rPr>
        <w:t>万元，其中：社会保障和就业支出18.47万元，医疗卫生支出497.71万元，住房保障支出23.57万元。</w:t>
      </w:r>
    </w:p>
    <w:p>
      <w:pPr>
        <w:spacing w:line="600" w:lineRule="exact"/>
        <w:ind w:firstLine="420" w:firstLineChars="200"/>
        <w:rPr>
          <w:rFonts w:hint="eastAsia" w:ascii="黑体" w:eastAsia="黑体"/>
          <w:color w:val="000000"/>
          <w:sz w:val="32"/>
          <w:szCs w:val="32"/>
        </w:rPr>
      </w:pPr>
      <w:r>
        <w:drawing>
          <wp:anchor distT="0" distB="0" distL="114300" distR="114300" simplePos="0" relativeHeight="251664384" behindDoc="1" locked="0" layoutInCell="1" allowOverlap="1">
            <wp:simplePos x="0" y="0"/>
            <wp:positionH relativeFrom="column">
              <wp:posOffset>404495</wp:posOffset>
            </wp:positionH>
            <wp:positionV relativeFrom="paragraph">
              <wp:posOffset>-43180</wp:posOffset>
            </wp:positionV>
            <wp:extent cx="4239260" cy="2371725"/>
            <wp:effectExtent l="4445" t="4445" r="23495" b="5080"/>
            <wp:wrapTight wrapText="bothSides">
              <wp:wrapPolygon>
                <wp:start x="-23" y="-40"/>
                <wp:lineTo x="-23" y="21473"/>
                <wp:lineTo x="21526" y="21473"/>
                <wp:lineTo x="21526" y="-40"/>
                <wp:lineTo x="-23" y="-40"/>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四、财政拨款收入支出决算总体情况说明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平地中心卫生院2018年财政拨款</w:t>
      </w:r>
      <w:r>
        <w:rPr>
          <w:rFonts w:hint="eastAsia" w:ascii="仿宋_GB2312" w:eastAsia="仿宋_GB2312"/>
          <w:sz w:val="32"/>
          <w:szCs w:val="32"/>
        </w:rPr>
        <w:t>收入决算总额为</w:t>
      </w:r>
      <w:r>
        <w:rPr>
          <w:rFonts w:hint="eastAsia" w:ascii="仿宋_GB2312" w:eastAsia="仿宋_GB2312"/>
          <w:sz w:val="32"/>
          <w:szCs w:val="32"/>
          <w:lang w:val="en-US" w:eastAsia="zh-CN"/>
        </w:rPr>
        <w:t>636.95</w:t>
      </w:r>
      <w:r>
        <w:rPr>
          <w:rFonts w:hint="eastAsia" w:ascii="仿宋_GB2312" w:eastAsia="仿宋_GB2312"/>
          <w:sz w:val="32"/>
          <w:szCs w:val="32"/>
        </w:rPr>
        <w:t>万元，支出决算总额为</w:t>
      </w:r>
      <w:r>
        <w:rPr>
          <w:rFonts w:hint="eastAsia" w:ascii="仿宋_GB2312" w:eastAsia="仿宋_GB2312"/>
          <w:sz w:val="32"/>
          <w:szCs w:val="32"/>
          <w:lang w:val="en-US" w:eastAsia="zh-CN"/>
        </w:rPr>
        <w:t>539.75</w:t>
      </w:r>
      <w:r>
        <w:rPr>
          <w:rFonts w:hint="eastAsia" w:ascii="仿宋_GB2312" w:eastAsia="仿宋_GB2312"/>
          <w:sz w:val="32"/>
          <w:szCs w:val="32"/>
        </w:rPr>
        <w:t>万元</w:t>
      </w:r>
      <w:r>
        <w:rPr>
          <w:rFonts w:hint="eastAsia" w:ascii="仿宋_GB2312" w:eastAsia="仿宋_GB2312"/>
          <w:color w:val="000000"/>
          <w:sz w:val="32"/>
          <w:szCs w:val="32"/>
        </w:rPr>
        <w:t>。与2017年相比，财政拨款收入减少49.56万元、减少了7.78%；支出增加28.67万元，增长了15.77%。</w:t>
      </w:r>
    </w:p>
    <w:p>
      <w:pPr>
        <w:spacing w:line="600" w:lineRule="exact"/>
        <w:ind w:firstLine="420" w:firstLineChars="200"/>
        <w:rPr>
          <w:rFonts w:hint="eastAsia" w:ascii="仿宋_GB2312" w:eastAsia="仿宋_GB2312"/>
          <w:color w:val="000000"/>
          <w:sz w:val="32"/>
          <w:szCs w:val="32"/>
        </w:rPr>
      </w:pPr>
      <w:r>
        <w:pict>
          <v:shape id="图表 3" o:spid="_x0000_s1034" o:spt="75" type="#_x0000_t75" style="position:absolute;left:0pt;margin-left:33pt;margin-top:2.25pt;height:175.5pt;width:361.5pt;z-index:251660288;mso-width-relative:page;mso-height-relative:page;" o:ole="t" filled="f" o:preferrelative="t" stroked="f" coordsize="21600,21600" o:gfxdata="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">
            <v:path/>
            <v:fill on="f" focussize="0,0"/>
            <v:stroke on="f"/>
            <v:imagedata r:id="rId10" o:title=""/>
            <o:lock v:ext="edit" aspectratio="f"/>
          </v:shape>
          <o:OLEObject Type="Embed" ProgID="Excel.Sheet.8" ShapeID="图表 3" DrawAspect="Content" ObjectID="_1468075725" r:id="rId9">
            <o:LockedField>false</o:LockedField>
          </o:OLEObject>
        </w:pict>
      </w: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平地中心卫生院财政拨款支出主要用于保障该部门机构正常运转、完成日常工作任务以及承担全乡医疗卫生与计划生育事业发展相关工作。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基本支出，是用于保障平地中心卫生院正常运转的日常支出，包括基本工资、津贴补贴等人员经费以及办公费、印刷费、水电费、办公设备购置等日常公用经费。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项目支出，是用于保障平地中心中心卫生院完成特定的行政工作任务或事业发展目标，用于专项业务工作的经费支出。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按支出功能分类主要用于以下方面: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（一）医疗卫生与计划生育支出，主要用于基层医疗卫生机构—乡镇卫生院人员基本工资，津贴补贴，离退休费。</w:t>
      </w:r>
    </w:p>
    <w:p>
      <w:pPr>
        <w:spacing w:line="580" w:lineRule="exact"/>
        <w:ind w:firstLine="640" w:firstLineChars="200"/>
        <w:rPr>
          <w:rFonts w:hint="eastAsia" w:ascii="仿宋_GB2312" w:eastAsia="仿宋_GB2312"/>
          <w:b/>
          <w:color w:val="000000"/>
          <w:sz w:val="32"/>
          <w:szCs w:val="32"/>
          <w:highlight w:val="yellow"/>
        </w:rPr>
      </w:pPr>
      <w:r>
        <w:rPr>
          <w:rFonts w:hint="eastAsia" w:ascii="仿宋_GB2312" w:eastAsia="仿宋_GB2312"/>
          <w:sz w:val="32"/>
          <w:szCs w:val="32"/>
        </w:rPr>
        <w:t xml:space="preserve">（二）住房保障支出，主要用于职工住房公积金支出。 </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五、一般公共预算财政拨款支出决算情况说明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2018年平地中心中心卫生院一般公共预算财政拨款支出386.51万元。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（二）一般公共预算财政拨款支出决算结构情况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2018年平地中心中心卫生院一般公共预算财政拨款支出386.51万元，主要用于以下方面:</w:t>
      </w:r>
      <w:r>
        <w:rPr>
          <w:rStyle w:val="12"/>
          <w:rFonts w:hint="eastAsia" w:ascii="仿宋" w:hAnsi="仿宋" w:eastAsia="仿宋"/>
          <w:b w:val="0"/>
          <w:bCs/>
          <w:color w:val="000000"/>
          <w:sz w:val="32"/>
          <w:szCs w:val="32"/>
        </w:rPr>
        <w:t>社会保障和就业</w:t>
      </w:r>
      <w:r>
        <w:rPr>
          <w:rStyle w:val="12"/>
          <w:rFonts w:hint="eastAsia" w:ascii="仿宋" w:hAnsi="仿宋" w:eastAsia="仿宋"/>
          <w:b w:val="0"/>
          <w:color w:val="000000"/>
          <w:sz w:val="32"/>
          <w:szCs w:val="32"/>
        </w:rPr>
        <w:t>（208类）20805（款）2080505（项）</w:t>
      </w:r>
      <w:r>
        <w:rPr>
          <w:rFonts w:hint="eastAsia" w:ascii="仿宋_GB2312" w:eastAsia="仿宋_GB2312"/>
          <w:color w:val="000000"/>
          <w:sz w:val="32"/>
          <w:szCs w:val="32"/>
        </w:rPr>
        <w:t>支出18.47万元，医疗卫生与计划生育</w:t>
      </w:r>
      <w:r>
        <w:rPr>
          <w:rFonts w:hint="eastAsia" w:ascii="仿宋" w:hAnsi="仿宋" w:eastAsia="仿宋"/>
          <w:bCs/>
          <w:color w:val="000000"/>
          <w:sz w:val="32"/>
          <w:szCs w:val="32"/>
        </w:rPr>
        <w:t>卫生健康</w:t>
      </w:r>
      <w:r>
        <w:rPr>
          <w:rStyle w:val="12"/>
          <w:rFonts w:hint="eastAsia" w:ascii="仿宋" w:hAnsi="仿宋" w:eastAsia="仿宋"/>
          <w:b w:val="0"/>
          <w:color w:val="000000"/>
          <w:sz w:val="32"/>
          <w:szCs w:val="32"/>
        </w:rPr>
        <w:t>（210类）21003（款）2100302（项）</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44.47万元，</w:t>
      </w:r>
      <w:r>
        <w:rPr>
          <w:rFonts w:hint="eastAsia" w:ascii="仿宋" w:hAnsi="仿宋" w:eastAsia="仿宋"/>
          <w:color w:val="000000"/>
          <w:sz w:val="32"/>
          <w:szCs w:val="32"/>
        </w:rPr>
        <w:t>住房保障支出</w:t>
      </w:r>
      <w:r>
        <w:rPr>
          <w:rStyle w:val="12"/>
          <w:rFonts w:hint="eastAsia" w:ascii="仿宋" w:hAnsi="仿宋" w:eastAsia="仿宋"/>
          <w:b w:val="0"/>
          <w:bCs/>
          <w:color w:val="000000"/>
          <w:sz w:val="32"/>
          <w:szCs w:val="32"/>
        </w:rPr>
        <w:t>（221类）22102（款）2210201（项）</w:t>
      </w:r>
      <w:r>
        <w:rPr>
          <w:rFonts w:hint="eastAsia" w:ascii="仿宋_GB2312" w:eastAsia="仿宋_GB2312"/>
          <w:color w:val="000000"/>
          <w:sz w:val="32"/>
          <w:szCs w:val="32"/>
        </w:rPr>
        <w:t>支出23.</w:t>
      </w:r>
      <w:r>
        <w:rPr>
          <w:rFonts w:hint="eastAsia" w:ascii="仿宋_GB2312" w:eastAsia="仿宋_GB2312"/>
          <w:color w:val="000000"/>
          <w:sz w:val="32"/>
          <w:szCs w:val="32"/>
          <w:lang w:val="en-US" w:eastAsia="zh-CN"/>
        </w:rPr>
        <w:t>5</w:t>
      </w:r>
      <w:bookmarkStart w:id="47" w:name="_GoBack"/>
      <w:bookmarkEnd w:id="47"/>
      <w:r>
        <w:rPr>
          <w:rFonts w:hint="eastAsia" w:ascii="仿宋_GB2312" w:eastAsia="仿宋_GB2312"/>
          <w:color w:val="000000"/>
          <w:sz w:val="32"/>
          <w:szCs w:val="32"/>
        </w:rPr>
        <w:t>7万元。</w:t>
      </w:r>
    </w:p>
    <w:p>
      <w:pPr>
        <w:spacing w:line="600" w:lineRule="exact"/>
        <w:ind w:firstLine="420" w:firstLineChars="200"/>
        <w:rPr>
          <w:rFonts w:hint="eastAsia" w:ascii="仿宋_GB2312" w:eastAsia="仿宋_GB2312"/>
          <w:color w:val="000000"/>
          <w:sz w:val="32"/>
          <w:szCs w:val="32"/>
        </w:rPr>
      </w:pPr>
      <w:r>
        <w:pict>
          <v:shape id="_x0000_s1035" o:spid="_x0000_s1035" o:spt="75" alt="" type="#_x0000_t75" style="position:absolute;left:0pt;margin-left:90.2pt;margin-top:20.6pt;height:132.4pt;width:269.8pt;z-index:251661312;mso-width-relative:page;mso-height-relative:page;" o:ole="t" filled="f" o:preferrelative="t" stroked="f" coordsize="21600,21600" o:gfxdata="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">
            <v:path/>
            <v:fill on="f" focussize="0,0"/>
            <v:stroke on="f"/>
            <v:imagedata r:id="rId12" o:title=""/>
            <o:lock v:ext="edit" aspectratio="f"/>
          </v:shape>
          <o:OLEObject Type="Embed" ProgID="Excel.Sheet.8" ShapeID="_x0000_s1035" DrawAspect="Content" ObjectID="_1468075726" r:id="rId11">
            <o:LockedField>false</o:LockedField>
          </o:OLEObject>
        </w:pict>
      </w: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460" w:lineRule="exact"/>
        <w:ind w:firstLine="64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六、一般公共预算财政拨款基本支出决算情况</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2018年平地中心中心卫生院一般公共预算财政拨款基本支出386.51万元，其中：</w:t>
      </w:r>
    </w:p>
    <w:p>
      <w:pPr>
        <w:spacing w:line="600" w:lineRule="exact"/>
        <w:ind w:firstLine="645"/>
        <w:rPr>
          <w:rFonts w:hint="eastAsia" w:ascii="仿宋_GB2312" w:eastAsia="仿宋_GB2312"/>
          <w:b/>
          <w:i/>
          <w:color w:val="404040"/>
          <w:sz w:val="32"/>
          <w:szCs w:val="32"/>
        </w:rPr>
      </w:pPr>
      <w:r>
        <w:rPr>
          <w:rFonts w:hint="eastAsia" w:ascii="仿宋_GB2312" w:eastAsia="仿宋_GB2312"/>
          <w:color w:val="000000"/>
          <w:sz w:val="32"/>
          <w:szCs w:val="32"/>
        </w:rPr>
        <w:t>人员经费186.69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w:t>
      </w:r>
      <w:r>
        <w:rPr>
          <w:rFonts w:hint="eastAsia" w:ascii="仿宋_GB2312" w:eastAsia="仿宋_GB2312"/>
          <w:color w:val="000000"/>
          <w:sz w:val="32"/>
          <w:szCs w:val="32"/>
        </w:rPr>
        <w:br w:type="textWrapping"/>
      </w:r>
      <w:r>
        <w:rPr>
          <w:rFonts w:hint="eastAsia" w:ascii="仿宋_GB2312" w:eastAsia="仿宋_GB2312"/>
          <w:color w:val="000000"/>
          <w:sz w:val="32"/>
          <w:szCs w:val="32"/>
        </w:rPr>
        <w:t>　　公用经费199.83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w:t>
      </w:r>
    </w:p>
    <w:p>
      <w:pPr>
        <w:spacing w:line="620" w:lineRule="exact"/>
        <w:ind w:firstLine="320" w:firstLineChars="100"/>
        <w:rPr>
          <w:rFonts w:hint="eastAsia" w:ascii="黑体" w:eastAsia="黑体"/>
          <w:sz w:val="32"/>
          <w:szCs w:val="32"/>
        </w:rPr>
      </w:pPr>
      <w:r>
        <w:rPr>
          <w:rFonts w:hint="eastAsia" w:ascii="黑体" w:eastAsia="黑体"/>
          <w:sz w:val="32"/>
          <w:szCs w:val="32"/>
        </w:rPr>
        <w:t>七、财政拨款“三公”经费情况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（一）因公出国（境）经费</w:t>
      </w:r>
    </w:p>
    <w:p>
      <w:pPr>
        <w:spacing w:line="620" w:lineRule="exact"/>
        <w:ind w:firstLine="640"/>
        <w:rPr>
          <w:rFonts w:hint="eastAsia" w:ascii="仿宋_GB2312" w:eastAsia="仿宋_GB2312"/>
          <w:sz w:val="32"/>
          <w:szCs w:val="32"/>
        </w:rPr>
      </w:pPr>
      <w:r>
        <w:rPr>
          <w:rFonts w:hint="eastAsia" w:ascii="仿宋_GB2312" w:eastAsia="仿宋_GB2312"/>
          <w:sz w:val="32"/>
          <w:szCs w:val="32"/>
        </w:rPr>
        <w:t>2018年因公出国（境）费0万元,较2017年决算数持平。</w:t>
      </w:r>
    </w:p>
    <w:p>
      <w:pPr>
        <w:spacing w:line="620" w:lineRule="exact"/>
        <w:ind w:firstLine="640"/>
        <w:rPr>
          <w:rFonts w:ascii="仿宋_GB2312" w:eastAsia="仿宋_GB2312"/>
          <w:sz w:val="32"/>
          <w:szCs w:val="32"/>
        </w:rPr>
      </w:pPr>
      <w:r>
        <w:rPr>
          <w:rFonts w:hint="eastAsia" w:ascii="仿宋_GB2312" w:eastAsia="仿宋_GB2312"/>
          <w:sz w:val="32"/>
          <w:szCs w:val="32"/>
        </w:rPr>
        <w:t>2018年因公出国（境）团组0次，出国（境）0人。主要原因近年无因公出国.</w:t>
      </w:r>
    </w:p>
    <w:p>
      <w:pPr>
        <w:spacing w:line="580" w:lineRule="exact"/>
        <w:ind w:firstLine="640" w:firstLineChars="200"/>
        <w:rPr>
          <w:rFonts w:ascii="楷体_GB2312" w:eastAsia="楷体_GB2312"/>
          <w:b/>
          <w:sz w:val="32"/>
          <w:szCs w:val="32"/>
        </w:rPr>
      </w:pPr>
      <w:r>
        <w:rPr>
          <w:rFonts w:hint="eastAsia" w:ascii="仿宋_GB2312" w:eastAsia="仿宋_GB2312"/>
          <w:sz w:val="32"/>
          <w:szCs w:val="32"/>
        </w:rPr>
        <w:t>（二）公务接待费</w:t>
      </w:r>
    </w:p>
    <w:p>
      <w:pPr>
        <w:spacing w:line="620" w:lineRule="exact"/>
        <w:ind w:firstLine="640"/>
        <w:rPr>
          <w:rFonts w:hint="eastAsia" w:ascii="仿宋_GB2312" w:eastAsia="仿宋_GB2312"/>
          <w:sz w:val="32"/>
          <w:szCs w:val="32"/>
        </w:rPr>
      </w:pPr>
      <w:r>
        <w:rPr>
          <w:rFonts w:hint="eastAsia" w:ascii="仿宋_GB2312" w:eastAsia="仿宋_GB2312"/>
          <w:sz w:val="32"/>
          <w:szCs w:val="32"/>
        </w:rPr>
        <w:t>2018年公务接待费0万元,与2017年决算数持平，主要是2018年未有上级部门来函到我院进行公务活动。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（三）公务用车购置及运行维护费</w:t>
      </w:r>
    </w:p>
    <w:p>
      <w:pPr>
        <w:spacing w:line="620" w:lineRule="exact"/>
        <w:ind w:firstLine="640"/>
        <w:rPr>
          <w:rFonts w:hint="eastAsia" w:ascii="仿宋_GB2312" w:eastAsia="仿宋_GB2312"/>
          <w:sz w:val="32"/>
          <w:szCs w:val="32"/>
        </w:rPr>
      </w:pPr>
      <w:r>
        <w:rPr>
          <w:rFonts w:hint="eastAsia" w:ascii="仿宋_GB2312" w:eastAsia="仿宋_GB2312"/>
          <w:sz w:val="32"/>
          <w:szCs w:val="32"/>
        </w:rPr>
        <w:t>2018年公务用车购置及运行维护费0.48万元,较2017年决算数1.31万元有较大下降，主要原因是</w:t>
      </w:r>
      <w:r>
        <w:rPr>
          <w:rFonts w:hint="eastAsia" w:ascii="仿宋_GB2312" w:eastAsia="仿宋_GB2312"/>
          <w:color w:val="000000"/>
          <w:sz w:val="32"/>
          <w:szCs w:val="32"/>
        </w:rPr>
        <w:t>按照公共机构节能能耗降低要求使用车辆，</w:t>
      </w:r>
      <w:r>
        <w:rPr>
          <w:rFonts w:hint="eastAsia" w:ascii="仿宋_GB2312" w:eastAsia="仿宋_GB2312"/>
          <w:sz w:val="32"/>
          <w:szCs w:val="32"/>
        </w:rPr>
        <w:t>严格控制和规范三公经费使用。至2018年12月底，单位共有公务用车1辆，其中：越野车1辆。</w:t>
      </w:r>
    </w:p>
    <w:p>
      <w:pPr>
        <w:spacing w:line="560" w:lineRule="exact"/>
        <w:ind w:firstLine="640"/>
        <w:rPr>
          <w:rFonts w:hint="eastAsia" w:ascii="仿宋_GB2312" w:eastAsia="仿宋_GB2312"/>
          <w:sz w:val="32"/>
          <w:szCs w:val="32"/>
        </w:rPr>
      </w:pPr>
      <w:r>
        <w:rPr>
          <w:rFonts w:hint="eastAsia" w:ascii="仿宋_GB2312" w:eastAsia="仿宋_GB2312"/>
          <w:sz w:val="32"/>
          <w:szCs w:val="32"/>
        </w:rPr>
        <w:t>2018年车辆运行维护费支出0.48万元，用于平地中心卫生院</w:t>
      </w:r>
      <w:r>
        <w:rPr>
          <w:rFonts w:hint="eastAsia" w:ascii="仿宋_GB2312" w:hAnsi="仿宋" w:eastAsia="仿宋_GB2312"/>
          <w:sz w:val="32"/>
          <w:szCs w:val="32"/>
        </w:rPr>
        <w:t>基本医疗和基本公共卫生</w:t>
      </w:r>
      <w:r>
        <w:rPr>
          <w:rFonts w:hint="eastAsia" w:ascii="仿宋_GB2312" w:eastAsia="仿宋_GB2312"/>
          <w:sz w:val="32"/>
          <w:szCs w:val="32"/>
        </w:rPr>
        <w:t>工作等所需的公务用车燃料费、维修费、过路过桥费、保险费支出。</w:t>
      </w:r>
    </w:p>
    <w:p>
      <w:pPr>
        <w:spacing w:line="600" w:lineRule="exact"/>
        <w:ind w:firstLine="640"/>
        <w:rPr>
          <w:rFonts w:hint="eastAsia" w:ascii="黑体" w:eastAsia="黑体"/>
          <w:color w:val="000000"/>
          <w:sz w:val="32"/>
          <w:szCs w:val="32"/>
        </w:rPr>
      </w:pPr>
      <w:r>
        <w:rPr>
          <w:rFonts w:hint="eastAsia" w:ascii="黑体" w:eastAsia="黑体"/>
          <w:color w:val="000000"/>
          <w:sz w:val="32"/>
          <w:szCs w:val="32"/>
        </w:rPr>
        <w:t>八、 政府性基金预算财政拨款支出决算情况</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平地中心卫生院2018年使用政府性基金预算财政拨款支出0万元。</w:t>
      </w:r>
    </w:p>
    <w:p>
      <w:pPr>
        <w:numPr>
          <w:ilvl w:val="0"/>
          <w:numId w:val="2"/>
        </w:numPr>
        <w:spacing w:line="600" w:lineRule="exact"/>
        <w:ind w:firstLine="640"/>
        <w:outlineLvl w:val="1"/>
        <w:rPr>
          <w:rStyle w:val="15"/>
          <w:rFonts w:ascii="黑体" w:hAnsi="黑体" w:eastAsia="黑体"/>
          <w:b w:val="0"/>
        </w:rPr>
      </w:pPr>
      <w:bookmarkStart w:id="21" w:name="_Toc15396611"/>
      <w:bookmarkStart w:id="22" w:name="_Toc15377219"/>
      <w:r>
        <w:rPr>
          <w:rStyle w:val="15"/>
          <w:rFonts w:hint="eastAsia" w:ascii="黑体" w:hAnsi="黑体" w:eastAsia="黑体"/>
          <w:b w:val="0"/>
        </w:rPr>
        <w:t>国有资本经营预算支出决算情况说明</w:t>
      </w:r>
      <w:bookmarkEnd w:id="21"/>
      <w:bookmarkEnd w:id="2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15"/>
          <w:rFonts w:ascii="黑体" w:hAnsi="黑体" w:eastAsia="黑体"/>
        </w:rPr>
      </w:pPr>
      <w:r>
        <w:rPr>
          <w:rStyle w:val="15"/>
          <w:rFonts w:hint="eastAsia" w:ascii="黑体" w:hAnsi="黑体" w:eastAsia="黑体"/>
          <w:b w:val="0"/>
        </w:rPr>
        <w:t>十、</w:t>
      </w:r>
      <w:bookmarkStart w:id="23" w:name="_Toc15377221"/>
      <w:bookmarkStart w:id="24" w:name="_Toc15396612"/>
      <w:r>
        <w:rPr>
          <w:rStyle w:val="15"/>
          <w:rFonts w:hint="eastAsia" w:ascii="黑体" w:hAnsi="黑体" w:eastAsia="黑体"/>
          <w:b w:val="0"/>
        </w:rPr>
        <w:t>其他重要事项的情况说明</w:t>
      </w:r>
      <w:bookmarkEnd w:id="23"/>
      <w:bookmarkEnd w:id="24"/>
    </w:p>
    <w:p>
      <w:pPr>
        <w:spacing w:line="600" w:lineRule="exact"/>
        <w:ind w:firstLine="643" w:firstLineChars="200"/>
        <w:outlineLvl w:val="2"/>
        <w:rPr>
          <w:rFonts w:ascii="仿宋" w:hAnsi="仿宋" w:eastAsia="仿宋"/>
          <w:color w:val="000000"/>
          <w:sz w:val="32"/>
          <w:szCs w:val="32"/>
        </w:rPr>
      </w:pPr>
      <w:bookmarkStart w:id="25" w:name="_Toc15377222"/>
      <w:r>
        <w:rPr>
          <w:rFonts w:hint="eastAsia" w:ascii="仿宋" w:hAnsi="仿宋" w:eastAsia="仿宋"/>
          <w:b/>
          <w:color w:val="000000"/>
          <w:sz w:val="32"/>
          <w:szCs w:val="32"/>
        </w:rPr>
        <w:t>（一）机关运行经费支出情况</w:t>
      </w:r>
      <w:bookmarkEnd w:id="25"/>
    </w:p>
    <w:p>
      <w:pPr>
        <w:spacing w:line="600" w:lineRule="exact"/>
        <w:ind w:firstLine="640"/>
        <w:rPr>
          <w:rFonts w:hint="eastAsia" w:ascii="仿宋" w:hAnsi="仿宋" w:eastAsia="仿宋"/>
          <w:b/>
          <w:color w:val="000000"/>
          <w:sz w:val="32"/>
          <w:szCs w:val="32"/>
          <w:lang w:eastAsia="zh-CN"/>
        </w:rPr>
      </w:pPr>
      <w:r>
        <w:rPr>
          <w:rFonts w:hint="eastAsia" w:ascii="仿宋_GB2312" w:hAnsi="仿宋_GB2312" w:eastAsia="仿宋_GB2312" w:cs="仿宋_GB2312"/>
          <w:color w:val="000000"/>
          <w:sz w:val="30"/>
          <w:szCs w:val="30"/>
          <w:lang w:val="en-US" w:eastAsia="zh-CN"/>
        </w:rPr>
        <w:t>平地中心卫生院无机关运行经费支出。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26" w:name="_Toc15377223"/>
      <w:r>
        <w:rPr>
          <w:rFonts w:hint="eastAsia" w:ascii="仿宋" w:hAnsi="仿宋" w:eastAsia="仿宋"/>
          <w:b/>
          <w:color w:val="000000"/>
          <w:sz w:val="32"/>
          <w:szCs w:val="32"/>
        </w:rPr>
        <w:t>（二）政府采购支出情况</w:t>
      </w:r>
      <w:bookmarkEnd w:id="26"/>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平地中心卫生院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60.00</w:t>
      </w:r>
      <w:r>
        <w:rPr>
          <w:rFonts w:hint="eastAsia" w:ascii="仿宋_GB2312" w:eastAsia="仿宋_GB2312"/>
          <w:color w:val="000000"/>
          <w:sz w:val="32"/>
          <w:szCs w:val="32"/>
        </w:rPr>
        <w:t>万元，其中：政府采购</w:t>
      </w:r>
      <w:r>
        <w:rPr>
          <w:rFonts w:hint="eastAsia" w:ascii="仿宋_GB2312" w:eastAsia="仿宋_GB2312"/>
          <w:color w:val="000000"/>
          <w:sz w:val="32"/>
          <w:szCs w:val="32"/>
          <w:lang w:eastAsia="zh-CN"/>
        </w:rPr>
        <w:t>办公用品</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万元、采购</w:t>
      </w:r>
      <w:r>
        <w:rPr>
          <w:rFonts w:hint="eastAsia" w:ascii="仿宋_GB2312" w:eastAsia="仿宋_GB2312"/>
          <w:color w:val="000000"/>
          <w:sz w:val="32"/>
          <w:szCs w:val="32"/>
          <w:lang w:eastAsia="zh-CN"/>
        </w:rPr>
        <w:t>专用设备</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60.00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27" w:name="_Toc15377224"/>
      <w:r>
        <w:rPr>
          <w:rFonts w:hint="eastAsia" w:ascii="仿宋" w:hAnsi="仿宋" w:eastAsia="仿宋"/>
          <w:b/>
          <w:color w:val="000000"/>
          <w:sz w:val="32"/>
          <w:szCs w:val="32"/>
        </w:rPr>
        <w:t>（三）国有资产占有使用情况</w:t>
      </w:r>
      <w:bookmarkEnd w:id="27"/>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平地中心卫生院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公共卫生下乡体检用。</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3"/>
        </w:numPr>
        <w:spacing w:line="600" w:lineRule="exact"/>
        <w:ind w:firstLine="663" w:firstLineChars="150"/>
        <w:jc w:val="center"/>
        <w:outlineLvl w:val="0"/>
        <w:rPr>
          <w:rStyle w:val="14"/>
          <w:rFonts w:ascii="黑体" w:hAnsi="黑体" w:eastAsia="黑体"/>
          <w:b w:val="0"/>
        </w:rPr>
      </w:pPr>
      <w:bookmarkStart w:id="28" w:name="_Toc15377225"/>
      <w:bookmarkStart w:id="29" w:name="_Toc15396613"/>
      <w:r>
        <w:rPr>
          <w:rFonts w:hint="eastAsia" w:ascii="黑体" w:hAnsi="黑体" w:eastAsia="黑体"/>
          <w:b/>
          <w:color w:val="000000"/>
          <w:sz w:val="44"/>
          <w:szCs w:val="44"/>
        </w:rPr>
        <w:t>名</w:t>
      </w:r>
      <w:r>
        <w:rPr>
          <w:rStyle w:val="14"/>
          <w:rFonts w:hint="eastAsia" w:ascii="黑体" w:hAnsi="黑体" w:eastAsia="黑体"/>
          <w:b w:val="0"/>
        </w:rPr>
        <w:t>词解释</w:t>
      </w:r>
      <w:bookmarkEnd w:id="28"/>
      <w:bookmarkEnd w:id="29"/>
    </w:p>
    <w:p>
      <w:pPr>
        <w:spacing w:line="600" w:lineRule="exact"/>
        <w:jc w:val="left"/>
        <w:rPr>
          <w:rFonts w:ascii="宋体"/>
          <w:b/>
          <w:color w:val="000000"/>
          <w:sz w:val="44"/>
          <w:szCs w:val="44"/>
        </w:rPr>
      </w:pPr>
    </w:p>
    <w:p>
      <w:pPr>
        <w:pStyle w:val="9"/>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指财政当年拨付的资金。</w:t>
      </w:r>
    </w:p>
    <w:p>
      <w:pPr>
        <w:pStyle w:val="9"/>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pPr>
        <w:pStyle w:val="9"/>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pPr>
        <w:pStyle w:val="9"/>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指除上述“财政拨款收入”、“事业收入”、“经营收入”等以外的收入。</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shd w:val="clear" w:color="auto" w:fill="FFFFFF"/>
        <w:spacing w:before="150" w:beforeAutospacing="0" w:after="150" w:afterAutospacing="0" w:line="540" w:lineRule="exact"/>
        <w:ind w:firstLine="630"/>
        <w:rPr>
          <w:rFonts w:hint="eastAsia" w:ascii="仿宋_GB2312" w:hAnsi="Times New Roman" w:eastAsia="仿宋_GB2312" w:cs="Times New Roman"/>
          <w:color w:val="FF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jc w:val="center"/>
        <w:outlineLvl w:val="0"/>
        <w:rPr>
          <w:rStyle w:val="14"/>
          <w:rFonts w:ascii="黑体" w:hAnsi="黑体" w:eastAsia="黑体"/>
          <w:b w:val="0"/>
        </w:rPr>
      </w:pPr>
      <w:bookmarkStart w:id="30" w:name="_Toc15396614"/>
      <w:r>
        <w:rPr>
          <w:rFonts w:hint="eastAsia" w:ascii="黑体" w:hAnsi="黑体" w:eastAsia="黑体"/>
          <w:color w:val="000000"/>
          <w:sz w:val="44"/>
          <w:szCs w:val="44"/>
        </w:rPr>
        <w:t>第</w:t>
      </w:r>
      <w:r>
        <w:rPr>
          <w:rStyle w:val="14"/>
          <w:rFonts w:hint="eastAsia" w:ascii="黑体" w:hAnsi="黑体" w:eastAsia="黑体"/>
          <w:b w:val="0"/>
        </w:rPr>
        <w:t>四部分 附件</w:t>
      </w:r>
      <w:bookmarkEnd w:id="30"/>
    </w:p>
    <w:p>
      <w:pPr>
        <w:spacing w:line="600" w:lineRule="exact"/>
        <w:jc w:val="center"/>
        <w:outlineLvl w:val="0"/>
        <w:rPr>
          <w:rStyle w:val="14"/>
        </w:rPr>
      </w:pPr>
    </w:p>
    <w:p>
      <w:pPr>
        <w:pStyle w:val="3"/>
        <w:rPr>
          <w:rStyle w:val="14"/>
          <w:rFonts w:ascii="仿宋" w:hAnsi="仿宋" w:eastAsia="仿宋"/>
          <w:b w:val="0"/>
          <w:bCs w:val="0"/>
          <w:sz w:val="32"/>
          <w:szCs w:val="32"/>
        </w:rPr>
      </w:pPr>
      <w:bookmarkStart w:id="31" w:name="_Toc15396615"/>
      <w:r>
        <w:rPr>
          <w:rStyle w:val="14"/>
          <w:rFonts w:hint="eastAsia" w:ascii="仿宋" w:hAnsi="仿宋" w:eastAsia="仿宋"/>
          <w:b w:val="0"/>
          <w:bCs w:val="0"/>
          <w:sz w:val="32"/>
          <w:szCs w:val="32"/>
        </w:rPr>
        <w:t>附件1</w:t>
      </w:r>
      <w:bookmarkEnd w:id="31"/>
    </w:p>
    <w:p>
      <w:pPr>
        <w:spacing w:line="600" w:lineRule="exact"/>
        <w:jc w:val="center"/>
        <w:outlineLvl w:val="0"/>
        <w:rPr>
          <w:rFonts w:hint="eastAsia" w:ascii="黑体" w:hAnsi="黑体" w:eastAsia="黑体" w:cs="方正小标宋简体"/>
          <w:sz w:val="36"/>
          <w:szCs w:val="36"/>
          <w:lang w:eastAsia="zh-CN"/>
        </w:rPr>
      </w:pPr>
      <w:bookmarkStart w:id="32" w:name="_Toc15396616"/>
      <w:r>
        <w:rPr>
          <w:rFonts w:hint="eastAsia" w:ascii="黑体" w:hAnsi="黑体" w:eastAsia="黑体" w:cs="方正小标宋简体"/>
          <w:sz w:val="36"/>
          <w:szCs w:val="36"/>
          <w:lang w:eastAsia="zh-CN"/>
        </w:rPr>
        <w:t>攀枝花市仁和区平地中心卫生院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32"/>
    </w:p>
    <w:p>
      <w:pPr>
        <w:spacing w:line="580" w:lineRule="exact"/>
        <w:ind w:firstLine="640" w:firstLineChars="200"/>
        <w:rPr>
          <w:rFonts w:ascii="黑体" w:hAnsi="黑体" w:eastAsia="黑体" w:cs="黑体"/>
          <w:sz w:val="32"/>
          <w:szCs w:val="32"/>
        </w:rPr>
      </w:pPr>
    </w:p>
    <w:p>
      <w:pPr>
        <w:pStyle w:val="9"/>
        <w:widowControl/>
        <w:shd w:val="clear" w:color="060000" w:fill="FFFFFF"/>
        <w:spacing w:beforeAutospacing="0" w:afterAutospacing="0" w:line="520" w:lineRule="exact"/>
        <w:ind w:left="1094" w:leftChars="304" w:hanging="456" w:hangingChars="142"/>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090000" w:fill="FFFFFF"/>
        </w:rPr>
        <w:t>一、</w:t>
      </w:r>
      <w:r>
        <w:rPr>
          <w:rFonts w:ascii="仿宋_GB2312" w:hAnsi="仿宋_GB2312" w:eastAsia="仿宋_GB2312" w:cs="仿宋_GB2312"/>
          <w:b/>
          <w:bCs/>
          <w:color w:val="333333"/>
          <w:sz w:val="32"/>
          <w:szCs w:val="32"/>
          <w:shd w:val="clear" w:color="090000" w:fill="FFFFFF"/>
        </w:rPr>
        <w:t> </w:t>
      </w:r>
      <w:r>
        <w:rPr>
          <w:rFonts w:hint="eastAsia" w:ascii="仿宋_GB2312" w:hAnsi="仿宋_GB2312" w:eastAsia="仿宋_GB2312" w:cs="仿宋_GB2312"/>
          <w:b/>
          <w:bCs/>
          <w:color w:val="333333"/>
          <w:sz w:val="32"/>
          <w:szCs w:val="32"/>
          <w:shd w:val="clear" w:color="090000" w:fill="FFFFFF"/>
        </w:rPr>
        <w:t>部门基本情况</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1.</w:t>
      </w:r>
      <w:r>
        <w:rPr>
          <w:rFonts w:hint="eastAsia" w:ascii="仿宋_GB2312" w:hAnsi="仿宋_GB2312" w:eastAsia="仿宋_GB2312" w:cs="仿宋_GB2312"/>
          <w:color w:val="333333"/>
          <w:sz w:val="32"/>
          <w:szCs w:val="32"/>
          <w:shd w:val="clear" w:color="080000" w:fill="FFFFFF"/>
        </w:rPr>
        <w:t>单位内设机构和人员编制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地镇位于攀枝花市最南端，幅员面积182.7平方公里，总人口15106人，少数民族人口12840人，占全镇人口的85%，是全区少数民族所占比例最大的镇。平地中心卫生院系仁和区4个中心卫生院之一，现有职工28人，其中:在编17人;临聘11人;退休5人。开设病床26张，其中副主任中医师1人、</w:t>
      </w:r>
      <w:r>
        <w:rPr>
          <w:rFonts w:hint="eastAsia" w:ascii="仿宋_GB2312" w:hAnsi="仿宋_GB2312" w:eastAsia="仿宋_GB2312" w:cs="仿宋_GB2312"/>
          <w:sz w:val="32"/>
          <w:szCs w:val="32"/>
          <w:lang w:eastAsia="zh-CN"/>
        </w:rPr>
        <w:t>副主任医师</w:t>
      </w:r>
      <w:r>
        <w:rPr>
          <w:rFonts w:hint="eastAsia" w:ascii="仿宋_GB2312" w:hAnsi="仿宋_GB2312" w:eastAsia="仿宋_GB2312" w:cs="仿宋_GB2312"/>
          <w:sz w:val="32"/>
          <w:szCs w:val="32"/>
          <w:lang w:val="en-US" w:eastAsia="zh-CN"/>
        </w:rPr>
        <w:t>1人、</w:t>
      </w:r>
      <w:r>
        <w:rPr>
          <w:rFonts w:hint="eastAsia" w:ascii="仿宋_GB2312" w:hAnsi="仿宋_GB2312" w:eastAsia="仿宋_GB2312" w:cs="仿宋_GB2312"/>
          <w:sz w:val="32"/>
          <w:szCs w:val="32"/>
        </w:rPr>
        <w:t>主治医师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人、执业医师3人、助理医师1人、护师1人、护士4人。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承担辖区居民的基本医疗和公共卫生服务任务，服务范围除平地镇外，还辐射大田，啊喇、大龙潭等周边乡镇约2.5万群众。卫生院占地面积约7000m2，其中现有业务用房面积1800余平米，现设科室为:临床、中医馆、护理、医技、公卫、城乡医保办等科室，固定资产总值达436余万元，卫生院现有DR、彩超、心电监护仪、全自动生化分析仪、尿液分析仪等设备。辖区内下设8个村卫生室。在2016年获得国家卫计委“群众满意乡镇卫生院”称号。</w:t>
      </w:r>
    </w:p>
    <w:p>
      <w:pPr>
        <w:spacing w:line="520"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color w:val="444444"/>
          <w:sz w:val="32"/>
          <w:szCs w:val="32"/>
          <w:shd w:val="clear" w:color="080000" w:fill="FFFFFF"/>
        </w:rPr>
        <w:t>2.</w:t>
      </w:r>
      <w:r>
        <w:rPr>
          <w:rFonts w:hint="eastAsia" w:ascii="仿宋_GB2312" w:hAnsi="仿宋_GB2312" w:eastAsia="仿宋_GB2312" w:cs="仿宋_GB2312"/>
          <w:color w:val="444444"/>
          <w:sz w:val="32"/>
          <w:szCs w:val="32"/>
          <w:shd w:val="clear" w:color="080000" w:fill="FFFFFF"/>
        </w:rPr>
        <w:t>单位主要职责</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一</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全面建立覆盖全乡居民的基本医疗卫生服务制度，使全乡居民人人享有基本医疗保障，人人享有基本公共卫生服务，医疗卫生服务质量、服务效率和群众满意度显著提高，切实解决看病难问题</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基本建立分工明确、信息互通、资源共享、协调互动的公共卫生服务体系，促进全乡居民享有均等化的基本公共卫生服务</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基本建立规范有序、结构合理、覆盖全乡的医疗服务体系，为群众提供安全、有效、方便、价廉的基本医疗服务</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以国家基本药物制度为基础的药品器械供应保障体系进一步规范，确保基本药物安全有效、公平可及、合理使用</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建立健全支撑卫生事业全面、协调、可持续发展的各项体制机制，有效保障医药卫生体系规范运行</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六是</w:t>
      </w:r>
      <w:r>
        <w:rPr>
          <w:rFonts w:hint="eastAsia" w:ascii="仿宋_GB2312" w:hAnsi="仿宋_GB2312" w:eastAsia="仿宋_GB2312" w:cs="仿宋_GB2312"/>
          <w:sz w:val="32"/>
          <w:szCs w:val="32"/>
        </w:rPr>
        <w:t>我院将以热情、细致、扎实、认真的服务态度，努力探索仁和区阳光康养服务及老年人医养服务相结合的新模式，探索更好的服务方式，为辖区签约老年人服好务，进一步提高</w:t>
      </w:r>
      <w:r>
        <w:rPr>
          <w:rFonts w:hint="eastAsia" w:ascii="仿宋_GB2312" w:hAnsi="仿宋_GB2312" w:eastAsia="仿宋_GB2312" w:cs="仿宋_GB2312"/>
          <w:bCs/>
          <w:sz w:val="32"/>
          <w:szCs w:val="32"/>
        </w:rPr>
        <w:t>医养工作服务质量</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七是</w:t>
      </w:r>
      <w:r>
        <w:rPr>
          <w:rFonts w:hint="eastAsia" w:ascii="仿宋_GB2312" w:hAnsi="仿宋_GB2312" w:eastAsia="仿宋_GB2312" w:cs="仿宋_GB2312"/>
          <w:sz w:val="32"/>
          <w:szCs w:val="32"/>
        </w:rPr>
        <w:t>全力巩固群众满意乡镇卫生院成果，创建以人为本的卫生院文化，实现和谐的人文特色办院方向</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八是</w:t>
      </w:r>
      <w:r>
        <w:rPr>
          <w:rFonts w:hint="eastAsia" w:ascii="仿宋_GB2312" w:hAnsi="仿宋_GB2312" w:eastAsia="仿宋_GB2312" w:cs="仿宋_GB2312"/>
          <w:sz w:val="32"/>
          <w:szCs w:val="32"/>
        </w:rPr>
        <w:t>培养一支留得住、用得上、满足群众健康需求、技术过硬的基础医疗卫生队伍。</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b/>
          <w:bCs/>
          <w:sz w:val="32"/>
          <w:szCs w:val="32"/>
        </w:rPr>
      </w:pPr>
      <w:r>
        <w:fldChar w:fldCharType="begin"/>
      </w:r>
      <w:r>
        <w:instrText xml:space="preserve"> HYPERLINK "http://www.ynml.gov.cn/333.news.detail.dhtml?news_id=19895" \l "_Toc434746188" </w:instrText>
      </w:r>
      <w:r>
        <w:fldChar w:fldCharType="separate"/>
      </w:r>
      <w:r>
        <w:rPr>
          <w:rStyle w:val="13"/>
          <w:rFonts w:hint="eastAsia" w:ascii="仿宋_GB2312" w:hAnsi="仿宋_GB2312" w:eastAsia="仿宋_GB2312" w:cs="仿宋_GB2312"/>
          <w:b/>
          <w:bCs/>
          <w:color w:val="auto"/>
          <w:sz w:val="32"/>
          <w:szCs w:val="32"/>
          <w:u w:val="none"/>
          <w:shd w:val="clear" w:color="0B0000" w:fill="FFFFFF"/>
        </w:rPr>
        <w:t>二、部门绩效目标的设立情况</w:t>
      </w:r>
      <w:r>
        <w:rPr>
          <w:rStyle w:val="13"/>
          <w:rFonts w:hint="eastAsia" w:ascii="仿宋_GB2312" w:hAnsi="仿宋_GB2312" w:eastAsia="仿宋_GB2312" w:cs="仿宋_GB2312"/>
          <w:b/>
          <w:bCs/>
          <w:color w:val="auto"/>
          <w:sz w:val="32"/>
          <w:szCs w:val="32"/>
          <w:u w:val="none"/>
          <w:shd w:val="clear" w:color="0B0000" w:fill="FFFFFF"/>
        </w:rPr>
        <w:fldChar w:fldCharType="end"/>
      </w:r>
    </w:p>
    <w:p>
      <w:pPr>
        <w:pStyle w:val="9"/>
        <w:widowControl/>
        <w:shd w:val="clear" w:color="060000" w:fill="FFFFFF"/>
        <w:spacing w:beforeAutospacing="0" w:afterAutospacing="0" w:line="520" w:lineRule="exact"/>
        <w:ind w:firstLine="602"/>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按照区卫计局及上级部门的统一部署，根据</w:t>
      </w:r>
      <w:r>
        <w:rPr>
          <w:rFonts w:hint="eastAsia" w:ascii="仿宋_GB2312" w:hAnsi="仿宋_GB2312" w:eastAsia="仿宋_GB2312" w:cs="仿宋_GB2312"/>
          <w:color w:val="333333"/>
          <w:sz w:val="32"/>
          <w:szCs w:val="32"/>
          <w:shd w:val="clear" w:color="080000" w:fill="FFFFFF"/>
          <w:lang w:eastAsia="zh-CN"/>
        </w:rPr>
        <w:t>2018年</w:t>
      </w:r>
      <w:r>
        <w:rPr>
          <w:rFonts w:hint="eastAsia" w:ascii="仿宋_GB2312" w:hAnsi="仿宋_GB2312" w:eastAsia="仿宋_GB2312" w:cs="仿宋_GB2312"/>
          <w:color w:val="333333"/>
          <w:sz w:val="32"/>
          <w:szCs w:val="32"/>
          <w:shd w:val="clear" w:color="080000" w:fill="FFFFFF"/>
        </w:rPr>
        <w:t>年末的工作安排，</w:t>
      </w:r>
      <w:r>
        <w:rPr>
          <w:rFonts w:hint="eastAsia" w:ascii="仿宋_GB2312" w:hAnsi="仿宋_GB2312" w:eastAsia="仿宋_GB2312" w:cs="仿宋_GB2312"/>
          <w:color w:val="444444"/>
          <w:sz w:val="32"/>
          <w:szCs w:val="32"/>
          <w:shd w:val="clear" w:color="080000"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Fonts w:hint="eastAsia" w:ascii="仿宋_GB2312" w:hAnsi="仿宋_GB2312" w:eastAsia="仿宋_GB2312" w:cs="仿宋_GB2312"/>
          <w:b/>
          <w:color w:val="444444"/>
          <w:sz w:val="32"/>
          <w:szCs w:val="32"/>
          <w:shd w:val="clear" w:color="080000" w:fill="FFFFFF"/>
        </w:rPr>
        <w:t>公共卫生服务方面：</w:t>
      </w:r>
      <w:r>
        <w:rPr>
          <w:rFonts w:hint="eastAsia" w:ascii="仿宋_GB2312" w:hAnsi="仿宋_GB2312" w:eastAsia="仿宋_GB2312" w:cs="仿宋_GB2312"/>
          <w:color w:val="444444"/>
          <w:sz w:val="32"/>
          <w:szCs w:val="32"/>
          <w:shd w:val="clear" w:color="080000"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Fonts w:hint="eastAsia" w:ascii="仿宋_GB2312" w:hAnsi="仿宋_GB2312" w:eastAsia="仿宋_GB2312" w:cs="仿宋_GB2312"/>
          <w:b/>
          <w:color w:val="444444"/>
          <w:sz w:val="32"/>
          <w:szCs w:val="32"/>
          <w:shd w:val="clear" w:color="080000" w:fill="FFFFFF"/>
        </w:rPr>
        <w:t>计划生育工作方面：一是</w:t>
      </w:r>
      <w:r>
        <w:rPr>
          <w:rFonts w:hint="eastAsia" w:ascii="仿宋_GB2312" w:hAnsi="仿宋_GB2312" w:eastAsia="仿宋_GB2312" w:cs="仿宋_GB2312"/>
          <w:color w:val="000000"/>
          <w:sz w:val="32"/>
          <w:szCs w:val="32"/>
          <w:shd w:val="clear" w:color="080000" w:fill="FFFFFF"/>
        </w:rPr>
        <w:t>进一步加强宣传力度；二是加强</w:t>
      </w:r>
      <w:r>
        <w:rPr>
          <w:rFonts w:hint="eastAsia" w:ascii="仿宋_GB2312" w:hAnsi="仿宋_GB2312" w:eastAsia="仿宋_GB2312" w:cs="仿宋_GB2312"/>
          <w:color w:val="333333"/>
          <w:sz w:val="32"/>
          <w:szCs w:val="32"/>
          <w:shd w:val="clear" w:color="080000" w:fill="FFFFFF"/>
        </w:rPr>
        <w:t>技术服务培训，争创优质服务；三是规范避孕药具管理，为已婚妇女提供优质、安全有效的避孕药具；四是做好医学监护（二查、四查）工作；五是抓好优生促进工程；六是加强流动人口管理。</w:t>
      </w:r>
      <w:r>
        <w:rPr>
          <w:rFonts w:hint="eastAsia" w:ascii="仿宋_GB2312" w:hAnsi="仿宋_GB2312" w:eastAsia="仿宋_GB2312" w:cs="仿宋_GB2312"/>
          <w:b/>
          <w:color w:val="333333"/>
          <w:sz w:val="32"/>
          <w:szCs w:val="32"/>
          <w:shd w:val="clear" w:color="080000" w:fill="FFFFFF"/>
        </w:rPr>
        <w:t>扶贫工作方面：一是</w:t>
      </w:r>
      <w:r>
        <w:rPr>
          <w:rFonts w:hint="eastAsia" w:ascii="仿宋_GB2312" w:hAnsi="仿宋_GB2312" w:eastAsia="仿宋_GB2312" w:cs="仿宋_GB2312"/>
          <w:color w:val="333333"/>
          <w:sz w:val="32"/>
          <w:szCs w:val="32"/>
          <w:shd w:val="clear" w:color="080000" w:fill="FFFFFF"/>
        </w:rPr>
        <w:t>开展贫困户因病致贫情况筛查；二是对建档立卡贫困户实施动态管理，家庭医生签约服务。三是开展健康扶贫。</w:t>
      </w:r>
      <w:r>
        <w:rPr>
          <w:rFonts w:hint="eastAsia" w:ascii="仿宋_GB2312" w:hAnsi="仿宋_GB2312" w:eastAsia="仿宋_GB2312" w:cs="仿宋_GB2312"/>
          <w:b/>
          <w:color w:val="333333"/>
          <w:sz w:val="32"/>
          <w:szCs w:val="32"/>
          <w:shd w:val="clear" w:color="080000" w:fill="FFFFFF"/>
        </w:rPr>
        <w:t>其他方面：</w:t>
      </w:r>
      <w:r>
        <w:rPr>
          <w:rFonts w:hint="eastAsia" w:ascii="仿宋_GB2312" w:hAnsi="仿宋_GB2312" w:eastAsia="仿宋_GB2312" w:cs="仿宋_GB2312"/>
          <w:color w:val="333333"/>
          <w:sz w:val="32"/>
          <w:szCs w:val="32"/>
          <w:shd w:val="clear" w:color="080000" w:fill="FFFFFF"/>
        </w:rPr>
        <w:t>一是</w:t>
      </w:r>
      <w:r>
        <w:rPr>
          <w:rFonts w:hint="eastAsia" w:ascii="仿宋_GB2312" w:hAnsi="仿宋_GB2312" w:eastAsia="仿宋_GB2312" w:cs="仿宋_GB2312"/>
          <w:color w:val="444444"/>
          <w:sz w:val="32"/>
          <w:szCs w:val="32"/>
          <w:shd w:val="clear" w:color="080000"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9"/>
        <w:widowControl/>
        <w:shd w:val="clear" w:color="060000" w:fill="FFFFFF"/>
        <w:spacing w:beforeAutospacing="0" w:afterAutospacing="0" w:line="520" w:lineRule="exact"/>
        <w:jc w:val="both"/>
        <w:rPr>
          <w:rFonts w:ascii="仿宋_GB2312" w:hAnsi="仿宋_GB2312" w:eastAsia="仿宋_GB2312" w:cs="仿宋_GB2312"/>
          <w:b/>
          <w:bCs/>
          <w:sz w:val="32"/>
          <w:szCs w:val="32"/>
        </w:rPr>
      </w:pP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b/>
          <w:bCs/>
          <w:sz w:val="32"/>
          <w:szCs w:val="32"/>
        </w:rPr>
        <w:t>三、部门财政收入支出管理情况</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2018年平地中心卫生院</w:t>
      </w:r>
      <w:r>
        <w:rPr>
          <w:rFonts w:hint="eastAsia" w:ascii="仿宋_GB2312" w:eastAsia="仿宋_GB2312"/>
          <w:sz w:val="32"/>
          <w:szCs w:val="32"/>
        </w:rPr>
        <w:t>收入决算总额为</w:t>
      </w:r>
      <w:r>
        <w:rPr>
          <w:rFonts w:hint="eastAsia" w:ascii="仿宋_GB2312" w:eastAsia="仿宋_GB2312"/>
          <w:sz w:val="32"/>
          <w:szCs w:val="32"/>
          <w:lang w:val="en-US" w:eastAsia="zh-CN"/>
        </w:rPr>
        <w:t>636.95</w:t>
      </w:r>
      <w:r>
        <w:rPr>
          <w:rFonts w:hint="eastAsia" w:ascii="仿宋_GB2312" w:eastAsia="仿宋_GB2312"/>
          <w:sz w:val="32"/>
          <w:szCs w:val="32"/>
        </w:rPr>
        <w:t>万元，其中：当年</w:t>
      </w:r>
      <w:r>
        <w:rPr>
          <w:rFonts w:hint="eastAsia" w:ascii="仿宋_GB2312" w:eastAsia="仿宋_GB2312"/>
          <w:sz w:val="32"/>
          <w:szCs w:val="32"/>
          <w:lang w:eastAsia="zh-CN"/>
        </w:rPr>
        <w:t>一般</w:t>
      </w:r>
      <w:r>
        <w:rPr>
          <w:rFonts w:hint="eastAsia" w:ascii="仿宋_GB2312" w:eastAsia="仿宋_GB2312"/>
          <w:sz w:val="32"/>
          <w:szCs w:val="32"/>
        </w:rPr>
        <w:t>财政拨款收入342.48万元，事业收入280.70万元，其他收入13.77万元。</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要用于保障该部门机构正常运转、完成日常工作任务以及承担全乡医疗卫生与计划生育事业发展相关工作。</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基本支出，是</w:t>
      </w:r>
      <w:r>
        <w:rPr>
          <w:rFonts w:hint="eastAsia" w:ascii="仿宋_GB2312" w:hAnsi="仿宋_GB2312" w:eastAsia="仿宋_GB2312" w:cs="仿宋_GB2312"/>
          <w:sz w:val="32"/>
          <w:szCs w:val="32"/>
        </w:rPr>
        <w:t>用于保障</w:t>
      </w:r>
      <w:r>
        <w:rPr>
          <w:rFonts w:hint="eastAsia" w:ascii="仿宋_GB2312" w:hAnsi="仿宋_GB2312" w:eastAsia="仿宋_GB2312" w:cs="仿宋_GB2312"/>
          <w:sz w:val="32"/>
          <w:szCs w:val="32"/>
          <w:lang w:eastAsia="zh-CN"/>
        </w:rPr>
        <w:t>平地中心</w:t>
      </w:r>
      <w:r>
        <w:rPr>
          <w:rFonts w:hint="eastAsia" w:ascii="仿宋_GB2312" w:hAnsi="仿宋_GB2312" w:eastAsia="仿宋_GB2312" w:cs="仿宋_GB2312"/>
          <w:sz w:val="32"/>
          <w:szCs w:val="32"/>
        </w:rPr>
        <w:t>卫生院正常运转的日常支出，包括基本工资、津贴补贴等人员经费以及办公费、印刷费、水电费、办公设备购置等日常公用经费。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项目支出，是用于保障</w:t>
      </w:r>
      <w:r>
        <w:rPr>
          <w:rFonts w:hint="eastAsia" w:ascii="仿宋_GB2312" w:hAnsi="仿宋_GB2312" w:eastAsia="仿宋_GB2312" w:cs="仿宋_GB2312"/>
          <w:sz w:val="32"/>
          <w:szCs w:val="32"/>
          <w:lang w:eastAsia="zh-CN"/>
        </w:rPr>
        <w:t>平地中心</w:t>
      </w:r>
      <w:r>
        <w:rPr>
          <w:rFonts w:hint="eastAsia" w:ascii="仿宋_GB2312" w:hAnsi="仿宋_GB2312" w:eastAsia="仿宋_GB2312" w:cs="仿宋_GB2312"/>
          <w:sz w:val="32"/>
          <w:szCs w:val="32"/>
        </w:rPr>
        <w:t>卫生院完成特定的行政工作任务或事业发展目标，用于专项业务工作的经费支出。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按支出功能分类主要用于以下方面</w:t>
      </w:r>
      <w:r>
        <w:rPr>
          <w:rFonts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（一）医疗卫生与计划生育支出，主要用于基层医疗卫生机构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乡镇卫生院人员基本工资，津贴补贴，离退休费。</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sz w:val="32"/>
          <w:szCs w:val="32"/>
        </w:rPr>
        <w:t>（二）住房保障支出，主要用于职工住房公积金支出。</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shd w:val="clear" w:color="080000" w:fill="FFFFFF"/>
        </w:rPr>
      </w:pPr>
      <w:r>
        <w:rPr>
          <w:rFonts w:ascii="仿宋_GB2312" w:hAnsi="仿宋_GB2312" w:eastAsia="仿宋_GB2312" w:cs="仿宋_GB2312"/>
          <w:color w:val="333333"/>
          <w:sz w:val="32"/>
          <w:szCs w:val="32"/>
          <w:shd w:val="clear" w:color="080000" w:fill="FFFFFF"/>
        </w:rPr>
        <w:t>4</w:t>
      </w:r>
      <w:r>
        <w:rPr>
          <w:rFonts w:hint="eastAsia" w:ascii="仿宋_GB2312" w:hAnsi="仿宋_GB2312" w:eastAsia="仿宋_GB2312" w:cs="仿宋_GB2312"/>
          <w:color w:val="333333"/>
          <w:sz w:val="32"/>
          <w:szCs w:val="32"/>
          <w:shd w:val="clear" w:color="080000" w:fill="FFFFFF"/>
        </w:rPr>
        <w:t>、支出绩效情况</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接受财政监督检查</w:t>
      </w: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严格遵守各项财经纪律，加强单位的财务管理，制定了财务监督管理相关制度，加强预算编制和执行，统一全局财务收支管理，确保每年财政预算收支平衡，</w:t>
      </w: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保证了工作的正常开展和目标任务的完成。结合我院实际制定《</w:t>
      </w:r>
      <w:r>
        <w:rPr>
          <w:rFonts w:hint="eastAsia" w:ascii="仿宋_GB2312" w:hAnsi="仿宋_GB2312" w:eastAsia="仿宋_GB2312" w:cs="仿宋_GB2312"/>
          <w:color w:val="333333"/>
          <w:sz w:val="32"/>
          <w:szCs w:val="32"/>
          <w:shd w:val="clear" w:color="080000" w:fill="FFFFFF"/>
          <w:lang w:eastAsia="zh-CN"/>
        </w:rPr>
        <w:t>平地中心</w:t>
      </w:r>
      <w:r>
        <w:rPr>
          <w:rFonts w:hint="eastAsia" w:ascii="仿宋_GB2312" w:hAnsi="仿宋_GB2312" w:eastAsia="仿宋_GB2312" w:cs="仿宋_GB2312"/>
          <w:color w:val="333333"/>
          <w:sz w:val="32"/>
          <w:szCs w:val="32"/>
          <w:shd w:val="clear" w:color="080000" w:fill="FFFFFF"/>
        </w:rPr>
        <w:t>卫生院内部控制制度》、《</w:t>
      </w:r>
      <w:r>
        <w:rPr>
          <w:rFonts w:hint="eastAsia" w:ascii="仿宋_GB2312" w:hAnsi="仿宋_GB2312" w:eastAsia="仿宋_GB2312" w:cs="仿宋_GB2312"/>
          <w:color w:val="000000"/>
          <w:sz w:val="32"/>
          <w:szCs w:val="32"/>
          <w:shd w:val="clear" w:color="080000" w:fill="FFFFFF"/>
          <w:lang w:eastAsia="zh-CN"/>
        </w:rPr>
        <w:t>平地中心</w:t>
      </w:r>
      <w:r>
        <w:rPr>
          <w:rFonts w:hint="eastAsia" w:ascii="仿宋_GB2312" w:hAnsi="仿宋_GB2312" w:eastAsia="仿宋_GB2312" w:cs="仿宋_GB2312"/>
          <w:color w:val="000000"/>
          <w:sz w:val="32"/>
          <w:szCs w:val="32"/>
          <w:shd w:val="clear" w:color="080000" w:fill="FFFFFF"/>
        </w:rPr>
        <w:t>卫生院预算管理制度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平地中心</w:t>
      </w:r>
      <w:r>
        <w:rPr>
          <w:rFonts w:hint="eastAsia" w:ascii="仿宋_GB2312" w:hAnsi="仿宋_GB2312" w:eastAsia="仿宋_GB2312" w:cs="仿宋_GB2312"/>
          <w:color w:val="000000"/>
          <w:sz w:val="32"/>
          <w:szCs w:val="32"/>
          <w:shd w:val="clear" w:color="080000" w:fill="FFFFFF"/>
        </w:rPr>
        <w:t>卫生院财务管理制度</w:t>
      </w:r>
      <w:r>
        <w:rPr>
          <w:rFonts w:hint="eastAsia" w:ascii="仿宋_GB2312" w:hAnsi="仿宋_GB2312" w:eastAsia="仿宋_GB2312" w:cs="仿宋_GB2312"/>
          <w:color w:val="333333"/>
          <w:sz w:val="32"/>
          <w:szCs w:val="32"/>
          <w:shd w:val="clear" w:color="080000" w:fill="FFFFFF"/>
        </w:rPr>
        <w:t>》和《</w:t>
      </w:r>
      <w:r>
        <w:rPr>
          <w:rFonts w:hint="eastAsia" w:ascii="仿宋_GB2312" w:hAnsi="仿宋_GB2312" w:eastAsia="仿宋_GB2312" w:cs="仿宋_GB2312"/>
          <w:color w:val="000000"/>
          <w:sz w:val="32"/>
          <w:szCs w:val="32"/>
          <w:shd w:val="clear" w:color="080000" w:fill="FFFFFF"/>
          <w:lang w:eastAsia="zh-CN"/>
        </w:rPr>
        <w:t>平地中心</w:t>
      </w:r>
      <w:r>
        <w:rPr>
          <w:rFonts w:hint="eastAsia" w:ascii="仿宋_GB2312" w:hAnsi="仿宋_GB2312" w:eastAsia="仿宋_GB2312" w:cs="仿宋_GB2312"/>
          <w:color w:val="000000"/>
          <w:sz w:val="32"/>
          <w:szCs w:val="32"/>
          <w:shd w:val="clear" w:color="080000" w:fill="FFFFFF"/>
        </w:rPr>
        <w:t>卫生院经费审批管理制度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平地中心</w:t>
      </w:r>
      <w:r>
        <w:rPr>
          <w:rFonts w:hint="eastAsia" w:ascii="仿宋_GB2312" w:hAnsi="仿宋_GB2312" w:eastAsia="仿宋_GB2312" w:cs="仿宋_GB2312"/>
          <w:color w:val="000000"/>
          <w:sz w:val="32"/>
          <w:szCs w:val="32"/>
          <w:shd w:val="clear" w:color="080000" w:fill="FFFFFF"/>
        </w:rPr>
        <w:t>卫生院收入管理制度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平地中心</w:t>
      </w:r>
      <w:r>
        <w:rPr>
          <w:rFonts w:hint="eastAsia" w:ascii="仿宋_GB2312" w:hAnsi="仿宋_GB2312" w:eastAsia="仿宋_GB2312" w:cs="仿宋_GB2312"/>
          <w:color w:val="000000"/>
          <w:sz w:val="32"/>
          <w:szCs w:val="32"/>
          <w:shd w:val="clear" w:color="080000" w:fill="FFFFFF"/>
        </w:rPr>
        <w:t>卫生院支出管理制度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平地中心</w:t>
      </w:r>
      <w:r>
        <w:rPr>
          <w:rFonts w:hint="eastAsia" w:ascii="仿宋_GB2312" w:hAnsi="仿宋_GB2312" w:eastAsia="仿宋_GB2312" w:cs="仿宋_GB2312"/>
          <w:color w:val="000000"/>
          <w:sz w:val="32"/>
          <w:szCs w:val="32"/>
          <w:shd w:val="clear" w:color="080000" w:fill="FFFFFF"/>
        </w:rPr>
        <w:t>卫生院票证管理制度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平地中心</w:t>
      </w:r>
      <w:r>
        <w:rPr>
          <w:rFonts w:hint="eastAsia" w:ascii="仿宋_GB2312" w:hAnsi="仿宋_GB2312" w:eastAsia="仿宋_GB2312" w:cs="仿宋_GB2312"/>
          <w:color w:val="000000"/>
          <w:sz w:val="32"/>
          <w:szCs w:val="32"/>
          <w:shd w:val="clear" w:color="080000" w:fill="FFFFFF"/>
        </w:rPr>
        <w:t>卫生院报账员职责</w:t>
      </w:r>
      <w:r>
        <w:rPr>
          <w:rFonts w:hint="eastAsia" w:ascii="仿宋_GB2312" w:hAnsi="仿宋_GB2312" w:eastAsia="仿宋_GB2312" w:cs="仿宋_GB2312"/>
          <w:color w:val="333333"/>
          <w:sz w:val="32"/>
          <w:szCs w:val="32"/>
          <w:shd w:val="clear" w:color="080000" w:fill="FFFFFF"/>
        </w:rPr>
        <w:t>》等相关制度，建立和完善财务收支审批制度、会计人员岗位责任制度等各项内部控制管理制度，相关人员在工作过程中严格遵守规章制度，有效地实施了内部监督和控制，保证了会计资料的真实性、完整性，加强了对本单位财产物资的监督和管理，杜绝了各种漏洞的发生，会计监督到位，经济运行透明，经济责任得以明确和落实。在规定的时间范围内，及时在</w:t>
      </w:r>
      <w:r>
        <w:rPr>
          <w:rFonts w:hint="eastAsia" w:ascii="仿宋_GB2312" w:hAnsi="仿宋_GB2312" w:eastAsia="仿宋_GB2312" w:cs="仿宋_GB2312"/>
          <w:color w:val="333333"/>
          <w:sz w:val="32"/>
          <w:szCs w:val="32"/>
          <w:shd w:val="clear" w:color="080000" w:fill="FFFFFF"/>
          <w:lang w:eastAsia="zh-CN"/>
        </w:rPr>
        <w:t>仁和区</w:t>
      </w:r>
      <w:r>
        <w:rPr>
          <w:rFonts w:hint="eastAsia" w:ascii="仿宋_GB2312" w:hAnsi="仿宋_GB2312" w:eastAsia="仿宋_GB2312" w:cs="仿宋_GB2312"/>
          <w:color w:val="333333"/>
          <w:sz w:val="32"/>
          <w:szCs w:val="32"/>
          <w:shd w:val="clear" w:color="080000" w:fill="FFFFFF"/>
        </w:rPr>
        <w:t>公众信息网中公开本单位的预、决算信息，自觉接受广大人民群众的监督。</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ascii="仿宋_GB2312" w:hAnsi="仿宋_GB2312" w:eastAsia="仿宋_GB2312" w:cs="仿宋_GB2312"/>
          <w:b/>
          <w:bCs/>
          <w:color w:val="333333"/>
          <w:sz w:val="32"/>
          <w:szCs w:val="32"/>
          <w:shd w:val="clear" w:color="090000" w:fill="FFFFFF"/>
        </w:rPr>
        <w:t xml:space="preserve"> </w:t>
      </w:r>
      <w:r>
        <w:rPr>
          <w:rFonts w:hint="eastAsia" w:ascii="仿宋_GB2312" w:hAnsi="仿宋_GB2312" w:eastAsia="仿宋_GB2312" w:cs="仿宋_GB2312"/>
          <w:b/>
          <w:bCs/>
          <w:color w:val="333333"/>
          <w:sz w:val="32"/>
          <w:szCs w:val="32"/>
          <w:shd w:val="clear" w:color="090000" w:fill="FFFFFF"/>
        </w:rPr>
        <w:t>四、主要经验及做法</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资金是开展业务及其它活动的重要物质保障。我院历来都非常重视，把资金管理例入重要议事日程，由院长主抓，指定专人负责</w:t>
      </w:r>
      <w:r>
        <w:rPr>
          <w:rFonts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333333"/>
          <w:sz w:val="32"/>
          <w:szCs w:val="32"/>
          <w:shd w:val="clear" w:color="080000" w:fill="FFFFFF"/>
        </w:rPr>
        <w:t>以确保资金运行的安全和完整。一是严格执行《行政单位国有资产管理暂行办法》（财政部令第</w:t>
      </w:r>
      <w:r>
        <w:rPr>
          <w:rFonts w:ascii="仿宋_GB2312" w:hAnsi="仿宋_GB2312" w:eastAsia="仿宋_GB2312" w:cs="仿宋_GB2312"/>
          <w:color w:val="333333"/>
          <w:sz w:val="32"/>
          <w:szCs w:val="32"/>
          <w:shd w:val="clear" w:color="080000" w:fill="FFFFFF"/>
        </w:rPr>
        <w:t>35</w:t>
      </w:r>
      <w:r>
        <w:rPr>
          <w:rFonts w:hint="eastAsia" w:ascii="仿宋_GB2312" w:hAnsi="仿宋_GB2312" w:eastAsia="仿宋_GB2312" w:cs="仿宋_GB2312"/>
          <w:color w:val="333333"/>
          <w:sz w:val="32"/>
          <w:szCs w:val="32"/>
          <w:shd w:val="clear" w:color="080000" w:fill="FFFFFF"/>
        </w:rPr>
        <w:t>号），规范资产管理；二是建立完整的会计核算体系，按照《</w:t>
      </w:r>
      <w:r>
        <w:rPr>
          <w:rFonts w:hint="eastAsia" w:ascii="仿宋_GB2312" w:hAnsi="仿宋_GB2312" w:eastAsia="仿宋_GB2312" w:cs="仿宋_GB2312"/>
          <w:color w:val="000000"/>
          <w:sz w:val="32"/>
          <w:szCs w:val="32"/>
          <w:shd w:val="clear" w:color="080000" w:fill="FFFFFF"/>
        </w:rPr>
        <w:t>基层医疗卫生机构会计制度</w:t>
      </w:r>
      <w:r>
        <w:rPr>
          <w:rFonts w:hint="eastAsia" w:ascii="仿宋_GB2312" w:hAnsi="仿宋_GB2312" w:eastAsia="仿宋_GB2312" w:cs="仿宋_GB2312"/>
          <w:color w:val="333333"/>
          <w:sz w:val="32"/>
          <w:szCs w:val="32"/>
          <w:shd w:val="clear" w:color="080000" w:fill="FFFFFF"/>
        </w:rPr>
        <w:t>》进行核算和管理；三是按照相关部门的要求定期检查、清查单位的资金运行情况，及时发现和堵塞管理中的漏洞，妥善处理和解决管理中出现的各种问题，制定出相应的改进措施；四是建立健全各项财务管理制度，并严格按照规定进行管理；五是连接财政管理网络，配置了管理的软、硬件设施；六是积极支持和督促财务人员参加各种业务培训，不断提高国有资产管理业务能力。</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b/>
          <w:bCs/>
          <w:color w:val="333333"/>
          <w:sz w:val="32"/>
          <w:szCs w:val="32"/>
          <w:shd w:val="clear" w:color="090000" w:fill="FFFFFF"/>
        </w:rPr>
        <w:t>五、存在的问题及原因分析</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从这次的绩效自评结果看，我院项目实施情况整体良好，各科室工作积极主动，使资金发挥了其应有的经济及社会效益，当然也存在一些问题：</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1</w:t>
      </w:r>
      <w:r>
        <w:rPr>
          <w:rFonts w:hint="eastAsia" w:ascii="仿宋_GB2312" w:hAnsi="仿宋_GB2312" w:eastAsia="仿宋_GB2312" w:cs="仿宋_GB2312"/>
          <w:color w:val="333333"/>
          <w:sz w:val="32"/>
          <w:szCs w:val="32"/>
          <w:shd w:val="clear" w:color="080000" w:fill="FFFFFF"/>
        </w:rPr>
        <w:t>、预算细化程度不够，造成了预算数与执行数的差异；</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2</w:t>
      </w:r>
      <w:r>
        <w:rPr>
          <w:rFonts w:hint="eastAsia" w:ascii="仿宋_GB2312" w:hAnsi="仿宋_GB2312" w:eastAsia="仿宋_GB2312" w:cs="仿宋_GB2312"/>
          <w:color w:val="333333"/>
          <w:sz w:val="32"/>
          <w:szCs w:val="32"/>
          <w:shd w:val="clear" w:color="080000" w:fill="FFFFFF"/>
        </w:rPr>
        <w:t>、项目资金预算不足，无法解决</w:t>
      </w:r>
      <w:r>
        <w:rPr>
          <w:rFonts w:hint="eastAsia" w:ascii="仿宋_GB2312" w:hAnsi="仿宋_GB2312" w:eastAsia="仿宋_GB2312" w:cs="仿宋_GB2312"/>
          <w:color w:val="444444"/>
          <w:sz w:val="32"/>
          <w:szCs w:val="32"/>
          <w:shd w:val="clear" w:color="080000" w:fill="FFFFFF"/>
        </w:rPr>
        <w:t>设备简陋的问题，制约了医院的发展；</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3</w:t>
      </w:r>
      <w:r>
        <w:rPr>
          <w:rFonts w:hint="eastAsia" w:ascii="仿宋_GB2312" w:hAnsi="仿宋_GB2312" w:eastAsia="仿宋_GB2312" w:cs="仿宋_GB2312"/>
          <w:color w:val="333333"/>
          <w:sz w:val="32"/>
          <w:szCs w:val="32"/>
          <w:shd w:val="clear" w:color="080000" w:fill="FFFFFF"/>
        </w:rPr>
        <w:t>．预算执行完成后的绩效管理还有待完善和加强。</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五、评价结论及建议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b w:val="0"/>
          <w:bCs w:val="0"/>
          <w:i w:val="0"/>
          <w:caps w:val="0"/>
          <w:color w:val="333333"/>
          <w:spacing w:val="0"/>
          <w:sz w:val="32"/>
          <w:szCs w:val="32"/>
        </w:rPr>
      </w:pPr>
      <w:r>
        <w:rPr>
          <w:rFonts w:hint="eastAsia" w:ascii="仿宋_GB2312" w:hAnsi="仿宋_GB2312" w:eastAsia="仿宋_GB2312" w:cs="仿宋_GB2312"/>
          <w:color w:val="333333"/>
          <w:sz w:val="32"/>
          <w:szCs w:val="32"/>
          <w:shd w:val="clear" w:color="080000" w:fill="FFFFFF"/>
        </w:rPr>
        <w:t>通过</w:t>
      </w:r>
      <w:r>
        <w:rPr>
          <w:rFonts w:hint="eastAsia" w:ascii="仿宋_GB2312" w:hAnsi="仿宋_GB2312" w:eastAsia="仿宋_GB2312" w:cs="仿宋_GB2312"/>
          <w:color w:val="333333"/>
          <w:sz w:val="32"/>
          <w:szCs w:val="32"/>
          <w:shd w:val="clear" w:color="080000" w:fill="FFFFFF"/>
          <w:lang w:eastAsia="zh-CN"/>
        </w:rPr>
        <w:t>2018年</w:t>
      </w:r>
      <w:r>
        <w:rPr>
          <w:rFonts w:hint="eastAsia" w:ascii="仿宋_GB2312" w:hAnsi="仿宋_GB2312" w:eastAsia="仿宋_GB2312" w:cs="仿宋_GB2312"/>
          <w:color w:val="333333"/>
          <w:sz w:val="32"/>
          <w:szCs w:val="32"/>
          <w:shd w:val="clear" w:color="080000" w:fill="FFFFFF"/>
        </w:rPr>
        <w:t>度各项工作任务的开展，不断完善了我院医疗管理体制、提升了医疗服务能力，加大了服务力度，全面保证了辖区人民群众的身体健康。一年来，我院</w:t>
      </w:r>
      <w:r>
        <w:rPr>
          <w:rFonts w:hint="eastAsia" w:ascii="仿宋_GB2312" w:hAnsi="仿宋_GB2312" w:eastAsia="仿宋_GB2312" w:cs="仿宋_GB2312"/>
          <w:color w:val="444444"/>
          <w:sz w:val="32"/>
          <w:szCs w:val="32"/>
          <w:shd w:val="clear" w:color="080000" w:fill="FFFFFF"/>
        </w:rPr>
        <w:t>进一步强化领导干部和职工队伍的建设，强化医德医风、服务理念的转变，</w:t>
      </w:r>
      <w:r>
        <w:rPr>
          <w:rFonts w:hint="eastAsia" w:ascii="仿宋_GB2312" w:hAnsi="仿宋_GB2312" w:eastAsia="仿宋_GB2312" w:cs="仿宋_GB2312"/>
          <w:color w:val="333333"/>
          <w:sz w:val="32"/>
          <w:szCs w:val="32"/>
          <w:shd w:val="clear" w:color="080000" w:fill="FFFFFF"/>
        </w:rPr>
        <w:t>从业人员的医疗安全意识、法律意识、责任意识明显提高。与同时不断</w:t>
      </w:r>
      <w:r>
        <w:rPr>
          <w:rFonts w:hint="eastAsia" w:ascii="仿宋_GB2312" w:hAnsi="仿宋_GB2312" w:eastAsia="仿宋_GB2312" w:cs="仿宋_GB2312"/>
          <w:color w:val="444444"/>
          <w:sz w:val="32"/>
          <w:szCs w:val="32"/>
          <w:shd w:val="clear" w:color="080000" w:fill="FFFFFF"/>
        </w:rPr>
        <w:t>强化各项规章制度的建立健全，强化医疗质量、医疗安全的保障，有力的推动了卫生计生各项工作的深入开展，</w:t>
      </w:r>
      <w:r>
        <w:rPr>
          <w:rFonts w:hint="eastAsia" w:ascii="仿宋_GB2312" w:hAnsi="仿宋_GB2312" w:eastAsia="仿宋_GB2312" w:cs="仿宋_GB2312"/>
          <w:color w:val="333333"/>
          <w:sz w:val="32"/>
          <w:szCs w:val="32"/>
          <w:shd w:val="clear" w:color="080000" w:fill="FFFFFF"/>
        </w:rPr>
        <w:t>各项监管制度措施也得到了认真落实，信用体系建设、效能建设、廉政建设、政风行风建设、文明创建和创先争优活动取得了新的成效。促进了我镇经济社会的全面、健康、可持续发展。自评分汇总得分</w:t>
      </w:r>
      <w:r>
        <w:rPr>
          <w:rFonts w:hint="eastAsia" w:ascii="仿宋_GB2312" w:hAnsi="仿宋_GB2312" w:eastAsia="仿宋_GB2312" w:cs="仿宋_GB2312"/>
          <w:color w:val="333333"/>
          <w:sz w:val="32"/>
          <w:szCs w:val="32"/>
          <w:shd w:val="clear" w:color="080000" w:fill="FFFFFF"/>
          <w:lang w:val="en-US" w:eastAsia="zh-CN"/>
        </w:rPr>
        <w:t>95</w:t>
      </w:r>
      <w:r>
        <w:rPr>
          <w:rFonts w:hint="eastAsia" w:ascii="仿宋_GB2312" w:hAnsi="仿宋_GB2312" w:eastAsia="仿宋_GB2312" w:cs="仿宋_GB2312"/>
          <w:color w:val="333333"/>
          <w:sz w:val="32"/>
          <w:szCs w:val="32"/>
          <w:shd w:val="clear" w:color="080000" w:fill="FFFFFF"/>
        </w:rPr>
        <w:t>分，自评结果为优秀。</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hint="eastAsia" w:ascii="黑体" w:hAnsi="黑体" w:eastAsia="黑体"/>
          <w:color w:val="000000"/>
          <w:sz w:val="44"/>
          <w:szCs w:val="44"/>
        </w:rPr>
      </w:pPr>
      <w:r>
        <w:rPr>
          <w:rFonts w:ascii="仿宋_GB2312" w:hAnsi="仿宋_GB2312" w:eastAsia="仿宋_GB2312" w:cs="仿宋_GB2312"/>
          <w:sz w:val="32"/>
          <w:szCs w:val="32"/>
        </w:rPr>
        <w:br w:type="page"/>
      </w:r>
      <w:bookmarkStart w:id="33" w:name="_Toc15396618"/>
    </w:p>
    <w:p>
      <w:pPr>
        <w:spacing w:line="600" w:lineRule="exact"/>
        <w:jc w:val="center"/>
        <w:outlineLvl w:val="0"/>
        <w:rPr>
          <w:rStyle w:val="14"/>
          <w:rFonts w:ascii="黑体" w:hAnsi="黑体" w:eastAsia="黑体"/>
          <w:b w:val="0"/>
        </w:rPr>
      </w:pPr>
      <w:r>
        <w:rPr>
          <w:rFonts w:hint="eastAsia" w:ascii="黑体" w:hAnsi="黑体" w:eastAsia="黑体"/>
          <w:color w:val="000000"/>
          <w:sz w:val="44"/>
          <w:szCs w:val="44"/>
        </w:rPr>
        <w:t>第</w:t>
      </w:r>
      <w:r>
        <w:rPr>
          <w:rStyle w:val="14"/>
          <w:rFonts w:hint="eastAsia" w:ascii="黑体" w:hAnsi="黑体" w:eastAsia="黑体"/>
          <w:b w:val="0"/>
        </w:rPr>
        <w:t>五部分 附表</w:t>
      </w:r>
      <w:bookmarkEnd w:id="3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34" w:name="_Toc15396619"/>
      <w:r>
        <w:rPr>
          <w:rFonts w:hint="eastAsia" w:ascii="仿宋" w:hAnsi="仿宋" w:eastAsia="仿宋"/>
          <w:b w:val="0"/>
          <w:color w:val="000000"/>
        </w:rPr>
        <w:t>一、收</w:t>
      </w:r>
      <w:r>
        <w:rPr>
          <w:rStyle w:val="15"/>
          <w:rFonts w:hint="eastAsia" w:ascii="仿宋" w:hAnsi="仿宋" w:eastAsia="仿宋"/>
          <w:b w:val="0"/>
          <w:bCs w:val="0"/>
        </w:rPr>
        <w:t>入支出决算总表</w:t>
      </w:r>
      <w:bookmarkEnd w:id="34"/>
    </w:p>
    <w:p>
      <w:pPr>
        <w:pStyle w:val="3"/>
        <w:rPr>
          <w:rFonts w:ascii="仿宋" w:hAnsi="仿宋" w:eastAsia="仿宋"/>
          <w:color w:val="000000"/>
        </w:rPr>
      </w:pPr>
      <w:bookmarkStart w:id="35" w:name="_Toc15396620"/>
      <w:r>
        <w:rPr>
          <w:rFonts w:hint="eastAsia" w:ascii="仿宋" w:hAnsi="仿宋" w:eastAsia="仿宋"/>
          <w:b w:val="0"/>
          <w:color w:val="000000"/>
        </w:rPr>
        <w:t>二、收</w:t>
      </w:r>
      <w:r>
        <w:rPr>
          <w:rStyle w:val="15"/>
          <w:rFonts w:hint="eastAsia" w:ascii="仿宋" w:hAnsi="仿宋" w:eastAsia="仿宋"/>
          <w:b w:val="0"/>
          <w:bCs w:val="0"/>
        </w:rPr>
        <w:t>入总表</w:t>
      </w:r>
      <w:bookmarkEnd w:id="35"/>
    </w:p>
    <w:p>
      <w:pPr>
        <w:pStyle w:val="3"/>
        <w:rPr>
          <w:rFonts w:ascii="仿宋" w:hAnsi="仿宋" w:eastAsia="仿宋"/>
          <w:color w:val="000000"/>
        </w:rPr>
      </w:pPr>
      <w:bookmarkStart w:id="36" w:name="_Toc15396621"/>
      <w:r>
        <w:rPr>
          <w:rStyle w:val="15"/>
          <w:rFonts w:hint="eastAsia" w:ascii="仿宋" w:hAnsi="仿宋" w:eastAsia="仿宋"/>
          <w:b w:val="0"/>
          <w:bCs w:val="0"/>
        </w:rPr>
        <w:t>三、</w:t>
      </w:r>
      <w:r>
        <w:rPr>
          <w:rFonts w:hint="eastAsia" w:ascii="仿宋" w:hAnsi="仿宋" w:eastAsia="仿宋"/>
          <w:b w:val="0"/>
          <w:color w:val="000000"/>
        </w:rPr>
        <w:t>支</w:t>
      </w:r>
      <w:r>
        <w:rPr>
          <w:rStyle w:val="15"/>
          <w:rFonts w:hint="eastAsia" w:ascii="仿宋" w:hAnsi="仿宋" w:eastAsia="仿宋"/>
          <w:b w:val="0"/>
          <w:bCs w:val="0"/>
        </w:rPr>
        <w:t>出总表</w:t>
      </w:r>
      <w:bookmarkEnd w:id="36"/>
    </w:p>
    <w:p>
      <w:pPr>
        <w:pStyle w:val="3"/>
        <w:rPr>
          <w:rFonts w:ascii="仿宋" w:hAnsi="仿宋" w:eastAsia="仿宋"/>
          <w:b w:val="0"/>
          <w:color w:val="000000"/>
        </w:rPr>
      </w:pPr>
      <w:bookmarkStart w:id="37" w:name="_Toc15396622"/>
      <w:r>
        <w:rPr>
          <w:rStyle w:val="15"/>
          <w:rFonts w:hint="eastAsia" w:ascii="仿宋" w:hAnsi="仿宋" w:eastAsia="仿宋"/>
          <w:b w:val="0"/>
          <w:bCs w:val="0"/>
        </w:rPr>
        <w:t>四、</w:t>
      </w:r>
      <w:r>
        <w:rPr>
          <w:rFonts w:hint="eastAsia" w:ascii="仿宋" w:hAnsi="仿宋" w:eastAsia="仿宋"/>
          <w:b w:val="0"/>
          <w:color w:val="000000"/>
        </w:rPr>
        <w:t>财</w:t>
      </w:r>
      <w:r>
        <w:rPr>
          <w:rStyle w:val="15"/>
          <w:rFonts w:hint="eastAsia" w:ascii="仿宋" w:hAnsi="仿宋" w:eastAsia="仿宋"/>
          <w:b w:val="0"/>
          <w:bCs w:val="0"/>
        </w:rPr>
        <w:t>政拨款收入支出决算总表</w:t>
      </w:r>
      <w:bookmarkEnd w:id="37"/>
    </w:p>
    <w:p>
      <w:pPr>
        <w:pStyle w:val="3"/>
        <w:rPr>
          <w:rFonts w:ascii="仿宋" w:hAnsi="仿宋" w:eastAsia="仿宋"/>
          <w:color w:val="000000"/>
        </w:rPr>
      </w:pPr>
      <w:bookmarkStart w:id="38" w:name="_Toc15396623"/>
      <w:r>
        <w:rPr>
          <w:rStyle w:val="15"/>
          <w:rFonts w:hint="eastAsia" w:ascii="仿宋" w:hAnsi="仿宋" w:eastAsia="仿宋"/>
          <w:b w:val="0"/>
          <w:bCs w:val="0"/>
        </w:rPr>
        <w:t>五、</w:t>
      </w:r>
      <w:r>
        <w:rPr>
          <w:rFonts w:hint="eastAsia" w:ascii="仿宋" w:hAnsi="仿宋" w:eastAsia="仿宋"/>
          <w:b w:val="0"/>
          <w:color w:val="000000"/>
        </w:rPr>
        <w:t>财</w:t>
      </w:r>
      <w:r>
        <w:rPr>
          <w:rStyle w:val="15"/>
          <w:rFonts w:hint="eastAsia" w:ascii="仿宋" w:hAnsi="仿宋" w:eastAsia="仿宋"/>
          <w:b w:val="0"/>
          <w:bCs w:val="0"/>
        </w:rPr>
        <w:t>政拨款支出决算明细表（政府经济分类科目）</w:t>
      </w:r>
      <w:bookmarkEnd w:id="38"/>
    </w:p>
    <w:p>
      <w:pPr>
        <w:pStyle w:val="3"/>
        <w:rPr>
          <w:rFonts w:ascii="仿宋" w:hAnsi="仿宋" w:eastAsia="仿宋"/>
          <w:color w:val="000000"/>
        </w:rPr>
      </w:pPr>
      <w:bookmarkStart w:id="39" w:name="_Toc15396624"/>
      <w:r>
        <w:rPr>
          <w:rStyle w:val="15"/>
          <w:rFonts w:hint="eastAsia" w:ascii="仿宋" w:hAnsi="仿宋" w:eastAsia="仿宋"/>
          <w:b w:val="0"/>
          <w:bCs w:val="0"/>
        </w:rPr>
        <w:t>六、</w:t>
      </w:r>
      <w:r>
        <w:rPr>
          <w:rFonts w:hint="eastAsia" w:ascii="仿宋" w:hAnsi="仿宋" w:eastAsia="仿宋"/>
          <w:b w:val="0"/>
          <w:color w:val="000000"/>
        </w:rPr>
        <w:t>一</w:t>
      </w:r>
      <w:r>
        <w:rPr>
          <w:rStyle w:val="15"/>
          <w:rFonts w:hint="eastAsia" w:ascii="仿宋" w:hAnsi="仿宋" w:eastAsia="仿宋"/>
          <w:b w:val="0"/>
          <w:bCs w:val="0"/>
        </w:rPr>
        <w:t>般公共预算财政拨款支出决算表</w:t>
      </w:r>
      <w:bookmarkEnd w:id="39"/>
    </w:p>
    <w:p>
      <w:pPr>
        <w:pStyle w:val="3"/>
        <w:rPr>
          <w:rFonts w:ascii="仿宋" w:hAnsi="仿宋" w:eastAsia="仿宋"/>
          <w:color w:val="000000"/>
        </w:rPr>
      </w:pPr>
      <w:bookmarkStart w:id="40" w:name="_Toc15396625"/>
      <w:r>
        <w:rPr>
          <w:rStyle w:val="15"/>
          <w:rFonts w:hint="eastAsia" w:ascii="仿宋" w:hAnsi="仿宋" w:eastAsia="仿宋"/>
          <w:b w:val="0"/>
          <w:bCs w:val="0"/>
        </w:rPr>
        <w:t>七、</w:t>
      </w:r>
      <w:r>
        <w:rPr>
          <w:rFonts w:hint="eastAsia" w:ascii="仿宋" w:hAnsi="仿宋" w:eastAsia="仿宋"/>
          <w:b w:val="0"/>
          <w:color w:val="000000"/>
        </w:rPr>
        <w:t>一</w:t>
      </w:r>
      <w:r>
        <w:rPr>
          <w:rStyle w:val="15"/>
          <w:rFonts w:hint="eastAsia" w:ascii="仿宋" w:hAnsi="仿宋" w:eastAsia="仿宋"/>
          <w:b w:val="0"/>
          <w:bCs w:val="0"/>
        </w:rPr>
        <w:t>般公共预算财政拨款支出决算明细表</w:t>
      </w:r>
      <w:bookmarkEnd w:id="40"/>
    </w:p>
    <w:p>
      <w:pPr>
        <w:pStyle w:val="3"/>
        <w:rPr>
          <w:rFonts w:ascii="仿宋" w:hAnsi="仿宋" w:eastAsia="仿宋"/>
          <w:color w:val="000000"/>
        </w:rPr>
      </w:pPr>
      <w:bookmarkStart w:id="41" w:name="_Toc15396626"/>
      <w:r>
        <w:rPr>
          <w:rStyle w:val="15"/>
          <w:rFonts w:hint="eastAsia" w:ascii="仿宋" w:hAnsi="仿宋" w:eastAsia="仿宋"/>
          <w:b w:val="0"/>
          <w:bCs w:val="0"/>
        </w:rPr>
        <w:t>八、</w:t>
      </w:r>
      <w:r>
        <w:rPr>
          <w:rFonts w:hint="eastAsia" w:ascii="仿宋" w:hAnsi="仿宋" w:eastAsia="仿宋"/>
          <w:b w:val="0"/>
          <w:color w:val="000000"/>
        </w:rPr>
        <w:t>一</w:t>
      </w:r>
      <w:r>
        <w:rPr>
          <w:rStyle w:val="15"/>
          <w:rFonts w:hint="eastAsia" w:ascii="仿宋" w:hAnsi="仿宋" w:eastAsia="仿宋"/>
          <w:b w:val="0"/>
          <w:bCs w:val="0"/>
        </w:rPr>
        <w:t>般公共预算财政拨款基本支出决算表</w:t>
      </w:r>
      <w:bookmarkEnd w:id="41"/>
    </w:p>
    <w:p>
      <w:pPr>
        <w:pStyle w:val="3"/>
        <w:rPr>
          <w:rFonts w:ascii="仿宋" w:hAnsi="仿宋" w:eastAsia="仿宋"/>
          <w:color w:val="000000"/>
        </w:rPr>
      </w:pPr>
      <w:bookmarkStart w:id="42" w:name="_Toc15396627"/>
      <w:r>
        <w:rPr>
          <w:rStyle w:val="15"/>
          <w:rFonts w:hint="eastAsia" w:ascii="仿宋" w:hAnsi="仿宋" w:eastAsia="仿宋"/>
          <w:b w:val="0"/>
          <w:bCs w:val="0"/>
        </w:rPr>
        <w:t>九、</w:t>
      </w:r>
      <w:r>
        <w:rPr>
          <w:rFonts w:hint="eastAsia" w:ascii="仿宋" w:hAnsi="仿宋" w:eastAsia="仿宋"/>
          <w:b w:val="0"/>
          <w:color w:val="000000"/>
        </w:rPr>
        <w:t>一</w:t>
      </w:r>
      <w:r>
        <w:rPr>
          <w:rStyle w:val="15"/>
          <w:rFonts w:hint="eastAsia" w:ascii="仿宋" w:hAnsi="仿宋" w:eastAsia="仿宋"/>
          <w:b w:val="0"/>
          <w:bCs w:val="0"/>
        </w:rPr>
        <w:t>般公共预算财政拨款项目支出决算表</w:t>
      </w:r>
      <w:bookmarkEnd w:id="42"/>
    </w:p>
    <w:p>
      <w:pPr>
        <w:pStyle w:val="3"/>
        <w:rPr>
          <w:rFonts w:ascii="仿宋" w:hAnsi="仿宋" w:eastAsia="仿宋"/>
          <w:color w:val="000000"/>
        </w:rPr>
      </w:pPr>
      <w:bookmarkStart w:id="43" w:name="_Toc15396628"/>
      <w:r>
        <w:rPr>
          <w:rStyle w:val="15"/>
          <w:rFonts w:hint="eastAsia" w:ascii="仿宋" w:hAnsi="仿宋" w:eastAsia="仿宋"/>
          <w:b w:val="0"/>
          <w:bCs w:val="0"/>
        </w:rPr>
        <w:t>十、</w:t>
      </w:r>
      <w:r>
        <w:rPr>
          <w:rFonts w:hint="eastAsia" w:ascii="仿宋" w:hAnsi="仿宋" w:eastAsia="仿宋"/>
          <w:b w:val="0"/>
          <w:color w:val="000000"/>
        </w:rPr>
        <w:t>一</w:t>
      </w:r>
      <w:r>
        <w:rPr>
          <w:rStyle w:val="15"/>
          <w:rFonts w:hint="eastAsia" w:ascii="仿宋" w:hAnsi="仿宋" w:eastAsia="仿宋"/>
          <w:b w:val="0"/>
          <w:bCs w:val="0"/>
        </w:rPr>
        <w:t>般公共预算财政拨款“三公”经费支出决算表</w:t>
      </w:r>
      <w:bookmarkEnd w:id="43"/>
    </w:p>
    <w:p>
      <w:pPr>
        <w:pStyle w:val="3"/>
        <w:rPr>
          <w:rFonts w:ascii="仿宋" w:hAnsi="仿宋" w:eastAsia="仿宋"/>
          <w:color w:val="000000"/>
        </w:rPr>
      </w:pPr>
      <w:bookmarkStart w:id="44" w:name="_Toc15396629"/>
      <w:r>
        <w:rPr>
          <w:rStyle w:val="15"/>
          <w:rFonts w:hint="eastAsia" w:ascii="仿宋" w:hAnsi="仿宋" w:eastAsia="仿宋"/>
          <w:b w:val="0"/>
          <w:bCs w:val="0"/>
        </w:rPr>
        <w:t>十一、</w:t>
      </w:r>
      <w:r>
        <w:rPr>
          <w:rFonts w:hint="eastAsia" w:ascii="仿宋" w:hAnsi="仿宋" w:eastAsia="仿宋"/>
          <w:b w:val="0"/>
          <w:color w:val="000000"/>
        </w:rPr>
        <w:t>政</w:t>
      </w:r>
      <w:r>
        <w:rPr>
          <w:rStyle w:val="15"/>
          <w:rFonts w:hint="eastAsia" w:ascii="仿宋" w:hAnsi="仿宋" w:eastAsia="仿宋"/>
          <w:b w:val="0"/>
          <w:bCs w:val="0"/>
        </w:rPr>
        <w:t>府性基金预算财政拨款收入支出决算表</w:t>
      </w:r>
      <w:bookmarkEnd w:id="44"/>
    </w:p>
    <w:p>
      <w:pPr>
        <w:pStyle w:val="3"/>
        <w:rPr>
          <w:rFonts w:ascii="仿宋" w:hAnsi="仿宋" w:eastAsia="仿宋"/>
          <w:color w:val="000000"/>
        </w:rPr>
      </w:pPr>
      <w:bookmarkStart w:id="45" w:name="_Toc15396630"/>
      <w:r>
        <w:rPr>
          <w:rStyle w:val="15"/>
          <w:rFonts w:hint="eastAsia" w:ascii="仿宋" w:hAnsi="仿宋" w:eastAsia="仿宋"/>
          <w:b w:val="0"/>
          <w:bCs w:val="0"/>
        </w:rPr>
        <w:t>十二、</w:t>
      </w:r>
      <w:r>
        <w:rPr>
          <w:rFonts w:hint="eastAsia" w:ascii="仿宋" w:hAnsi="仿宋" w:eastAsia="仿宋"/>
          <w:b w:val="0"/>
          <w:color w:val="000000"/>
        </w:rPr>
        <w:t>政</w:t>
      </w:r>
      <w:r>
        <w:rPr>
          <w:rStyle w:val="15"/>
          <w:rFonts w:hint="eastAsia" w:ascii="仿宋" w:hAnsi="仿宋" w:eastAsia="仿宋"/>
          <w:b w:val="0"/>
          <w:bCs w:val="0"/>
        </w:rPr>
        <w:t>府性基金预算财政拨款“三公”经费支出决算表</w:t>
      </w:r>
      <w:bookmarkEnd w:id="45"/>
    </w:p>
    <w:p>
      <w:pPr>
        <w:pStyle w:val="3"/>
        <w:rPr>
          <w:rFonts w:ascii="仿宋" w:hAnsi="仿宋" w:eastAsia="仿宋"/>
          <w:color w:val="000000" w:themeColor="text1"/>
          <w14:textFill>
            <w14:solidFill>
              <w14:schemeClr w14:val="tx1"/>
            </w14:solidFill>
          </w14:textFill>
        </w:rPr>
      </w:pPr>
      <w:bookmarkStart w:id="46" w:name="_Toc15396631"/>
      <w:r>
        <w:rPr>
          <w:rStyle w:val="15"/>
          <w:rFonts w:hint="eastAsia" w:ascii="仿宋" w:hAnsi="仿宋" w:eastAsia="仿宋"/>
          <w:b w:val="0"/>
          <w:bCs w:val="0"/>
        </w:rPr>
        <w:t>十三、</w:t>
      </w:r>
      <w:r>
        <w:rPr>
          <w:rFonts w:hint="eastAsia" w:ascii="仿宋" w:hAnsi="仿宋" w:eastAsia="仿宋"/>
          <w:b w:val="0"/>
          <w:color w:val="000000"/>
        </w:rPr>
        <w:t>国</w:t>
      </w:r>
      <w:r>
        <w:rPr>
          <w:rStyle w:val="15"/>
          <w:rFonts w:hint="eastAsia" w:ascii="仿宋" w:hAnsi="仿宋" w:eastAsia="仿宋"/>
          <w:b w:val="0"/>
          <w:bCs w:val="0"/>
        </w:rPr>
        <w:t>有资本经营预算支出决算表</w:t>
      </w:r>
      <w:bookmarkEnd w:id="46"/>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30402EC4"/>
    <w:multiLevelType w:val="singleLevel"/>
    <w:tmpl w:val="30402EC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023DD"/>
    <w:rsid w:val="276F5E75"/>
    <w:rsid w:val="32E4297D"/>
    <w:rsid w:val="450F303C"/>
    <w:rsid w:val="4CC023DD"/>
    <w:rsid w:val="507E5F1B"/>
    <w:rsid w:val="54926980"/>
    <w:rsid w:val="5BC3360E"/>
    <w:rsid w:val="6E3B0887"/>
    <w:rsid w:val="70AB0365"/>
    <w:rsid w:val="7C4F2B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93"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99"/>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1 Char"/>
    <w:basedOn w:val="11"/>
    <w:link w:val="2"/>
    <w:qFormat/>
    <w:uiPriority w:val="9"/>
    <w:rPr>
      <w:b/>
      <w:bCs/>
      <w:kern w:val="44"/>
      <w:sz w:val="44"/>
      <w:szCs w:val="44"/>
    </w:rPr>
  </w:style>
  <w:style w:type="character" w:customStyle="1" w:styleId="15">
    <w:name w:val="标题 2 Char"/>
    <w:basedOn w:val="11"/>
    <w:link w:val="3"/>
    <w:qFormat/>
    <w:uiPriority w:val="9"/>
    <w:rPr>
      <w:rFonts w:asciiTheme="majorHAnsi" w:hAnsiTheme="majorHAnsi" w:eastAsiaTheme="majorEastAsia" w:cstheme="majorBidi"/>
      <w:b/>
      <w:bCs/>
      <w:sz w:val="32"/>
      <w:szCs w:val="32"/>
    </w:rPr>
  </w:style>
  <w:style w:type="paragraph" w:customStyle="1" w:styleId="16">
    <w:name w:val="List Paragraph"/>
    <w:basedOn w:val="1"/>
    <w:qFormat/>
    <w:uiPriority w:val="34"/>
    <w:pPr>
      <w:ind w:firstLine="420" w:firstLineChars="200"/>
    </w:pPr>
  </w:style>
  <w:style w:type="paragraph" w:customStyle="1" w:styleId="17">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oleObject" Target="embeddings/oleObject2.bin"/><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13-2019&#24179;&#22320;&#21355;&#29983;&#38498;\2019&#24180;&#24179;&#22320;&#21355;&#29983;&#38498;\2018&#24180;&#20915;&#31639;&#20844;&#24320;&#65288;&#20915;&#31639;&#20844;&#31034;1&#65289;\2018&#24180;&#24179;&#22320;&#20013;&#24515;&#21355;&#29983;&#38498;&#37096;&#38376;&#20915;&#31639;&#32534;&#21046;&#35828;&#2612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13-2019&#24179;&#22320;&#21355;&#29983;&#38498;\2019&#24180;&#24179;&#22320;&#21355;&#29983;&#38498;\2018&#24180;&#20915;&#31639;&#20844;&#24320;&#65288;&#20915;&#31639;&#20844;&#31034;1&#65289;\2018&#24180;&#24179;&#22320;&#20013;&#24515;&#21355;&#29983;&#38498;&#37096;&#38376;&#20915;&#31639;&#32534;&#21046;&#35828;&#2612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13-2019&#24179;&#22320;&#21355;&#29983;&#38498;\2019&#24180;&#24179;&#22320;&#21355;&#29983;&#38498;\2018&#24180;&#20915;&#31639;&#20844;&#24320;&#65288;&#20915;&#31639;&#20844;&#31034;1&#65289;\2018&#24180;&#24179;&#22320;&#20013;&#24515;&#21355;&#29983;&#38498;&#37096;&#38376;&#20915;&#31639;&#32534;&#21046;&#35828;&#261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年平地中心卫生院收入支出合计</a:t>
            </a:r>
            <a:endParaRPr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[2018年平地中心卫生院部门决算编制说明.xlsx]Sheet1!$A$24:$A$26</c:f>
              <c:strCache>
                <c:ptCount val="3"/>
                <c:pt idx="0">
                  <c:v>收入</c:v>
                </c:pt>
                <c:pt idx="1">
                  <c:v>支出</c:v>
                </c:pt>
                <c:pt idx="2">
                  <c:v>收入支出合计</c:v>
                </c:pt>
              </c:strCache>
            </c:strRef>
          </c:cat>
          <c:val>
            <c:numRef>
              <c:f>[2018年平地中心卫生院部门决算编制说明.xlsx]Sheet1!$B$24:$B$26</c:f>
              <c:numCache>
                <c:formatCode>General</c:formatCode>
                <c:ptCount val="3"/>
                <c:pt idx="0">
                  <c:v>636.95</c:v>
                </c:pt>
                <c:pt idx="1">
                  <c:v>539.75</c:v>
                </c:pt>
                <c:pt idx="2" c:formatCode="0.00_ ">
                  <c:v>1176.7</c:v>
                </c:pt>
              </c:numCache>
            </c:numRef>
          </c:val>
        </c:ser>
        <c:dLbls>
          <c:showLegendKey val="0"/>
          <c:showVal val="1"/>
          <c:showCatName val="0"/>
          <c:showSerName val="0"/>
          <c:showPercent val="0"/>
          <c:showBubbleSize val="0"/>
        </c:dLbls>
        <c:gapWidth val="219"/>
        <c:overlap val="-27"/>
        <c:axId val="782926827"/>
        <c:axId val="740002399"/>
      </c:barChart>
      <c:catAx>
        <c:axId val="7829268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002399"/>
        <c:crosses val="autoZero"/>
        <c:auto val="1"/>
        <c:lblAlgn val="ctr"/>
        <c:lblOffset val="100"/>
        <c:noMultiLvlLbl val="0"/>
      </c:catAx>
      <c:valAx>
        <c:axId val="740002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29268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cap="none" spc="0" normalizeH="0" baseline="0">
                <a:solidFill>
                  <a:schemeClr val="tx1">
                    <a:lumMod val="65000"/>
                    <a:lumOff val="35000"/>
                  </a:schemeClr>
                </a:solidFill>
                <a:effectLst/>
                <a:latin typeface="+mn-lt"/>
                <a:ea typeface="+mn-ea"/>
                <a:cs typeface="+mn-cs"/>
              </a:rPr>
              <a:t>2018</a:t>
            </a:r>
            <a:r>
              <a:rPr altLang="en-US" sz="1400" b="0" i="0" u="none" strike="noStrike" kern="1200" cap="none" spc="0" normalizeH="0" baseline="0">
                <a:solidFill>
                  <a:schemeClr val="tx1">
                    <a:lumMod val="65000"/>
                    <a:lumOff val="35000"/>
                  </a:schemeClr>
                </a:solidFill>
                <a:effectLst/>
                <a:latin typeface="+mn-lt"/>
                <a:ea typeface="+mn-ea"/>
                <a:cs typeface="+mn-cs"/>
              </a:rPr>
              <a:t>平地中心卫生院收入决算构成图</a:t>
            </a:r>
            <a:endParaRPr altLang="en-US" sz="1400" b="0" i="0" u="none" strike="noStrike" kern="1200" cap="none" spc="0" normalizeH="0" baseline="0">
              <a:solidFill>
                <a:schemeClr val="tx1">
                  <a:lumMod val="65000"/>
                  <a:lumOff val="35000"/>
                </a:schemeClr>
              </a:solidFill>
              <a:effectLst/>
              <a:latin typeface="+mn-lt"/>
              <a:ea typeface="+mn-ea"/>
              <a:cs typeface="+mn-cs"/>
            </a:endParaRPr>
          </a:p>
          <a:p>
            <a:pPr algn="ctr" defTabSz="914400">
              <a:defRPr lang="zh-CN" sz="1400" b="0" i="0" u="none" strike="noStrike" kern="1200" spc="0" baseline="0">
                <a:solidFill>
                  <a:schemeClr val="tx1">
                    <a:lumMod val="65000"/>
                    <a:lumOff val="35000"/>
                  </a:schemeClr>
                </a:solidFill>
                <a:latin typeface="+mn-lt"/>
                <a:ea typeface="+mn-ea"/>
                <a:cs typeface="+mn-cs"/>
              </a:defRPr>
            </a:pPr>
            <a:endParaRPr altLang="en-US"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116365858338296"/>
          <c:y val="0.00947268708556994"/>
        </c:manualLayout>
      </c:layout>
      <c:overlay val="0"/>
      <c:spPr>
        <a:noFill/>
        <a:ln>
          <a:noFill/>
        </a:ln>
        <a:effectLst/>
      </c:spPr>
    </c:title>
    <c:autoTitleDeleted val="0"/>
    <c:plotArea>
      <c:layout>
        <c:manualLayout>
          <c:layoutTarget val="inner"/>
          <c:xMode val="edge"/>
          <c:yMode val="edge"/>
          <c:x val="0.304305555555556"/>
          <c:y val="0.216550925925926"/>
          <c:w val="0.374444444444444"/>
          <c:h val="0.624074074074074"/>
        </c:manualLayout>
      </c:layout>
      <c:pieChart>
        <c:varyColors val="1"/>
        <c:ser>
          <c:idx val="0"/>
          <c:order val="0"/>
          <c:spPr>
            <a:effectLst/>
          </c:spPr>
          <c:explosion val="0"/>
          <c:dPt>
            <c:idx val="0"/>
            <c:bubble3D val="0"/>
            <c:explosion val="25"/>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dLbl>
              <c:idx val="2"/>
              <c:layout>
                <c:manualLayout>
                  <c:x val="-0.0729166666666667"/>
                  <c:y val="0.0451388888888889"/>
                </c:manualLayout>
              </c:layout>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41666666666667"/>
                  <c:y val="0.0277777777777778"/>
                </c:manualLayout>
              </c:layout>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[2018年平地中心卫生院部门决算编制说明.xlsx]Sheet1!$A$1:$A$4</c:f>
              <c:strCache>
                <c:ptCount val="4"/>
                <c:pt idx="0">
                  <c:v>一般公共预算财政拨款收入</c:v>
                </c:pt>
                <c:pt idx="1">
                  <c:v>事业收入</c:v>
                </c:pt>
                <c:pt idx="2">
                  <c:v>其他收入</c:v>
                </c:pt>
              </c:strCache>
            </c:strRef>
          </c:cat>
          <c:val>
            <c:numRef>
              <c:f>[2018年平地中心卫生院部门决算编制说明.xlsx]Sheet1!$B$1:$B$4</c:f>
              <c:numCache>
                <c:formatCode>#,##0.00</c:formatCode>
                <c:ptCount val="4"/>
                <c:pt idx="0">
                  <c:v>342.48</c:v>
                </c:pt>
                <c:pt idx="1">
                  <c:v>280.7</c:v>
                </c:pt>
                <c:pt idx="2">
                  <c:v>13.77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cap="none" spc="0" normalizeH="0" baseline="0">
                <a:solidFill>
                  <a:schemeClr val="tx1">
                    <a:lumMod val="65000"/>
                    <a:lumOff val="35000"/>
                  </a:schemeClr>
                </a:solidFill>
                <a:effectLst/>
                <a:latin typeface="+mn-lt"/>
                <a:ea typeface="+mn-ea"/>
                <a:cs typeface="+mn-cs"/>
              </a:rPr>
              <a:t>2018</a:t>
            </a:r>
            <a:r>
              <a:rPr altLang="en-US" sz="1400" b="0" i="0" u="none" strike="noStrike" kern="1200" cap="none" spc="0" normalizeH="0" baseline="0">
                <a:solidFill>
                  <a:schemeClr val="tx1">
                    <a:lumMod val="65000"/>
                    <a:lumOff val="35000"/>
                  </a:schemeClr>
                </a:solidFill>
                <a:effectLst/>
                <a:latin typeface="+mn-lt"/>
                <a:ea typeface="+mn-ea"/>
                <a:cs typeface="+mn-cs"/>
              </a:rPr>
              <a:t>年平地中心卫生院支出决算构成图</a:t>
            </a:r>
            <a:endParaRPr altLang="en-US"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174764873140857"/>
          <c:y val="0.0416666666666667"/>
        </c:manualLayout>
      </c:layout>
      <c:overlay val="0"/>
      <c:spPr>
        <a:noFill/>
        <a:ln>
          <a:noFill/>
        </a:ln>
        <a:effectLst/>
      </c:spPr>
    </c:title>
    <c:autoTitleDeleted val="0"/>
    <c:plotArea>
      <c:layout>
        <c:manualLayout>
          <c:layoutTarget val="inner"/>
          <c:xMode val="edge"/>
          <c:yMode val="edge"/>
          <c:x val="0.400740931200257"/>
          <c:y val="0.275327029904394"/>
          <c:w val="0.33108254742573"/>
          <c:h val="0.591967871485944"/>
        </c:manualLayout>
      </c:layout>
      <c:pieChart>
        <c:varyColors val="1"/>
        <c:ser>
          <c:idx val="0"/>
          <c:order val="0"/>
          <c:spPr>
            <a:effectLst/>
          </c:spPr>
          <c:explosion val="0"/>
          <c:dPt>
            <c:idx val="0"/>
            <c:bubble3D val="0"/>
            <c:explosion val="0"/>
            <c:spPr>
              <a:solidFill>
                <a:schemeClr val="accent1"/>
              </a:solidFill>
              <a:ln w="19050">
                <a:solidFill>
                  <a:schemeClr val="lt1"/>
                </a:solidFill>
              </a:ln>
              <a:effectLst/>
            </c:spPr>
          </c:dPt>
          <c:dPt>
            <c:idx val="1"/>
            <c:bubble3D val="0"/>
            <c:explosion val="1"/>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dLbl>
              <c:idx val="0"/>
              <c:layout>
                <c:manualLayout>
                  <c:x val="0.12133013780707"/>
                  <c:y val="-0.0160642570281124"/>
                </c:manualLayout>
              </c:layout>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9304973037747"/>
                  <c:y val="-0.0281124497991968"/>
                </c:manualLayout>
              </c:layout>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30317555422409"/>
                  <c:y val="-0.0522088353413655"/>
                </c:manualLayout>
              </c:layout>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2564409826243"/>
                  <c:y val="-0.0642570281124498"/>
                </c:manualLayout>
              </c:layout>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86399041342121"/>
                  <c:y val="-0.0160642570281124"/>
                </c:manualLayout>
              </c:layout>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[2018年平地中心卫生院部门决算编制说明.xlsx]Sheet1!$G$1:$G$5</c:f>
              <c:strCache>
                <c:ptCount val="5"/>
                <c:pt idx="0">
                  <c:v>社会保障和就业支出</c:v>
                </c:pt>
                <c:pt idx="1">
                  <c:v>医疗卫生与计划生育支出</c:v>
                </c:pt>
                <c:pt idx="2">
                  <c:v>住房保障支出</c:v>
                </c:pt>
              </c:strCache>
            </c:strRef>
          </c:cat>
          <c:val>
            <c:numRef>
              <c:f>[2018年平地中心卫生院部门决算编制说明.xlsx]Sheet1!$H$1:$H$5</c:f>
              <c:numCache>
                <c:formatCode>#,##0.00</c:formatCode>
                <c:ptCount val="5"/>
                <c:pt idx="0">
                  <c:v>18.47</c:v>
                </c:pt>
                <c:pt idx="1">
                  <c:v>497.71</c:v>
                </c:pt>
                <c:pt idx="2">
                  <c:v>23.57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0449370880766926"/>
          <c:y val="0.482998661311914"/>
          <c:w val="0.349910125823847"/>
          <c:h val="0.353413654618474"/>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2019-11-08T06:00:00Z</dcterms:created>
  <dc:creator>Administrator</dc:creator>
  <cp:lastModifiedBy>我愿自生自灭</cp:lastModifiedBy>
  <dcterms:modified xsi:type="dcterms:W3CDTF">2021-07-09T03:37:19Z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BE2E7E02A26B438C9C2DA1525B45E568</vt:lpwstr>
  </property>
</Properties>
</file>