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7193"/>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96598"/>
      <w:bookmarkStart w:id="7" w:name="_Toc15377194"/>
      <w:bookmarkStart w:id="8" w:name="_Toc15377426"/>
      <w:bookmarkStart w:id="9" w:name="_Toc15378442"/>
      <w:bookmarkStart w:id="10" w:name="_Toc15396476"/>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rPr>
        <w:t>攀枝花市仁和区环境监测站</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52"/>
          <w:szCs w:val="52"/>
        </w:rPr>
        <w:t xml:space="preserve"> </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pPr>
      <w:r>
        <w:rPr>
          <w:rFonts w:hint="eastAsia"/>
        </w:rPr>
        <w:t>公开时间：2020年10月23日</w:t>
      </w:r>
    </w:p>
    <w:p>
      <w:pPr>
        <w:pStyle w:val="10"/>
        <w:adjustRightInd w:val="0"/>
        <w:snapToGrid w:val="0"/>
        <w:spacing w:before="0" w:line="40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Pr>
          <w:sz w:val="24"/>
        </w:rPr>
        <w:t>…………………………………………</w:t>
      </w:r>
      <w:r>
        <w:rPr>
          <w:rFonts w:hint="eastAsia"/>
          <w:sz w:val="24"/>
        </w:rPr>
        <w:t>3</w:t>
      </w:r>
    </w:p>
    <w:p>
      <w:pPr>
        <w:pStyle w:val="11"/>
        <w:adjustRightInd w:val="0"/>
        <w:snapToGrid w:val="0"/>
        <w:spacing w:line="400" w:lineRule="exact"/>
        <w:jc w:val="left"/>
        <w:rPr>
          <w:sz w:val="24"/>
        </w:rPr>
      </w:pPr>
      <w:r>
        <w:rPr>
          <w:rFonts w:hint="eastAsia"/>
          <w:sz w:val="24"/>
        </w:rPr>
        <w:t>一、基本职能及主要工作</w:t>
      </w:r>
      <w:r>
        <w:rPr>
          <w:sz w:val="24"/>
        </w:rPr>
        <w:t>………………………………</w:t>
      </w:r>
      <w:r>
        <w:rPr>
          <w:rFonts w:hint="eastAsia"/>
          <w:sz w:val="24"/>
        </w:rPr>
        <w:t>.3</w:t>
      </w:r>
    </w:p>
    <w:p>
      <w:pPr>
        <w:pStyle w:val="11"/>
        <w:adjustRightInd w:val="0"/>
        <w:snapToGrid w:val="0"/>
        <w:spacing w:line="400" w:lineRule="exact"/>
        <w:jc w:val="left"/>
        <w:rPr>
          <w:sz w:val="24"/>
        </w:rPr>
      </w:pPr>
      <w:r>
        <w:rPr>
          <w:rFonts w:hint="eastAsia"/>
          <w:sz w:val="24"/>
        </w:rPr>
        <w:t>二、机构设置</w:t>
      </w:r>
      <w:r>
        <w:rPr>
          <w:sz w:val="24"/>
        </w:rPr>
        <w:t>………………………………………</w:t>
      </w:r>
      <w:r>
        <w:rPr>
          <w:rFonts w:hint="eastAsia"/>
          <w:sz w:val="24"/>
        </w:rPr>
        <w:t>..</w:t>
      </w:r>
      <w:r>
        <w:rPr>
          <w:sz w:val="24"/>
        </w:rPr>
        <w:t>…</w:t>
      </w:r>
      <w:r>
        <w:rPr>
          <w:rFonts w:hint="eastAsia"/>
          <w:sz w:val="24"/>
        </w:rPr>
        <w:t>...4</w:t>
      </w:r>
    </w:p>
    <w:p>
      <w:pPr>
        <w:pStyle w:val="10"/>
        <w:adjustRightInd w:val="0"/>
        <w:snapToGrid w:val="0"/>
        <w:spacing w:before="0" w:line="400" w:lineRule="exact"/>
        <w:jc w:val="left"/>
        <w:rPr>
          <w:sz w:val="24"/>
          <w:szCs w:val="24"/>
        </w:rPr>
      </w:pPr>
      <w:r>
        <w:rPr>
          <w:rFonts w:hint="eastAsia"/>
          <w:sz w:val="24"/>
        </w:rPr>
        <w:t>第二部分2019年度部门决算情况说明</w:t>
      </w:r>
      <w:r>
        <w:rPr>
          <w:sz w:val="24"/>
        </w:rPr>
        <w:t>……………………</w:t>
      </w:r>
      <w:r>
        <w:rPr>
          <w:rFonts w:hint="eastAsia"/>
          <w:sz w:val="24"/>
        </w:rPr>
        <w:t>5</w:t>
      </w:r>
    </w:p>
    <w:p>
      <w:pPr>
        <w:pStyle w:val="11"/>
        <w:adjustRightInd w:val="0"/>
        <w:snapToGrid w:val="0"/>
        <w:spacing w:line="400" w:lineRule="exact"/>
        <w:jc w:val="left"/>
        <w:rPr>
          <w:rFonts w:ascii="仿宋" w:hAnsi="仿宋" w:eastAsia="仿宋" w:cstheme="minorBidi"/>
          <w:sz w:val="24"/>
        </w:rPr>
      </w:pPr>
      <w:r>
        <w:rPr>
          <w:rFonts w:hint="eastAsia"/>
          <w:sz w:val="24"/>
        </w:rPr>
        <w:t>一、收入支出决算总体情况说明</w:t>
      </w:r>
      <w:r>
        <w:rPr>
          <w:sz w:val="24"/>
        </w:rPr>
        <w:t>………………………</w:t>
      </w:r>
      <w:r>
        <w:rPr>
          <w:rFonts w:hint="eastAsia"/>
          <w:sz w:val="24"/>
        </w:rPr>
        <w:t>.5</w:t>
      </w:r>
    </w:p>
    <w:p>
      <w:pPr>
        <w:pStyle w:val="11"/>
        <w:adjustRightInd w:val="0"/>
        <w:snapToGrid w:val="0"/>
        <w:spacing w:line="400" w:lineRule="exact"/>
        <w:jc w:val="left"/>
        <w:rPr>
          <w:rFonts w:ascii="仿宋" w:hAnsi="仿宋" w:eastAsia="仿宋" w:cstheme="minorBidi"/>
          <w:sz w:val="24"/>
        </w:rPr>
      </w:pPr>
      <w:r>
        <w:rPr>
          <w:rFonts w:hint="eastAsia"/>
          <w:sz w:val="24"/>
        </w:rPr>
        <w:t>二、收入决算情况说明</w:t>
      </w:r>
      <w:r>
        <w:rPr>
          <w:sz w:val="24"/>
        </w:rPr>
        <w:t>……………………</w:t>
      </w:r>
      <w:r>
        <w:rPr>
          <w:rFonts w:hint="eastAsia"/>
          <w:sz w:val="24"/>
        </w:rPr>
        <w:t>.</w:t>
      </w:r>
      <w:r>
        <w:rPr>
          <w:sz w:val="24"/>
        </w:rPr>
        <w:t>……………</w:t>
      </w:r>
      <w:r>
        <w:rPr>
          <w:rFonts w:hint="eastAsia"/>
          <w:sz w:val="24"/>
        </w:rPr>
        <w:t>.5</w:t>
      </w:r>
    </w:p>
    <w:p>
      <w:pPr>
        <w:pStyle w:val="11"/>
        <w:adjustRightInd w:val="0"/>
        <w:snapToGrid w:val="0"/>
        <w:spacing w:line="400" w:lineRule="exact"/>
        <w:jc w:val="left"/>
        <w:rPr>
          <w:rFonts w:ascii="仿宋" w:hAnsi="仿宋" w:eastAsia="仿宋" w:cstheme="minorBidi"/>
          <w:sz w:val="24"/>
        </w:rPr>
      </w:pPr>
      <w:r>
        <w:rPr>
          <w:rFonts w:hint="eastAsia"/>
          <w:sz w:val="24"/>
        </w:rPr>
        <w:t>三、支出决算情况说明</w:t>
      </w:r>
      <w:r>
        <w:rPr>
          <w:sz w:val="24"/>
        </w:rPr>
        <w:t>……………………………</w:t>
      </w:r>
      <w:r>
        <w:rPr>
          <w:rFonts w:hint="eastAsia"/>
          <w:sz w:val="24"/>
        </w:rPr>
        <w:t>..</w:t>
      </w:r>
      <w:r>
        <w:rPr>
          <w:sz w:val="24"/>
        </w:rPr>
        <w:t>……</w:t>
      </w:r>
      <w:r>
        <w:rPr>
          <w:rFonts w:hint="eastAsia"/>
          <w:sz w:val="24"/>
        </w:rPr>
        <w:t>5</w:t>
      </w:r>
    </w:p>
    <w:p>
      <w:pPr>
        <w:pStyle w:val="11"/>
        <w:adjustRightInd w:val="0"/>
        <w:snapToGrid w:val="0"/>
        <w:spacing w:line="400" w:lineRule="exact"/>
        <w:jc w:val="left"/>
        <w:rPr>
          <w:rFonts w:ascii="仿宋" w:hAnsi="仿宋" w:eastAsia="仿宋" w:cstheme="minorBidi"/>
          <w:sz w:val="24"/>
        </w:rPr>
      </w:pPr>
      <w:r>
        <w:rPr>
          <w:rFonts w:hint="eastAsia"/>
          <w:sz w:val="24"/>
        </w:rPr>
        <w:t>四、财政拨款收入支出决算总体情况说明</w:t>
      </w:r>
      <w:r>
        <w:rPr>
          <w:sz w:val="24"/>
        </w:rPr>
        <w:t>………</w:t>
      </w:r>
      <w:r>
        <w:rPr>
          <w:rFonts w:hint="eastAsia"/>
          <w:sz w:val="24"/>
        </w:rPr>
        <w:t>.</w:t>
      </w:r>
      <w:r>
        <w:rPr>
          <w:sz w:val="24"/>
        </w:rPr>
        <w:t>……</w:t>
      </w:r>
      <w:r>
        <w:rPr>
          <w:rFonts w:hint="eastAsia"/>
          <w:sz w:val="24"/>
        </w:rPr>
        <w:t>6</w:t>
      </w:r>
    </w:p>
    <w:p>
      <w:pPr>
        <w:pStyle w:val="11"/>
        <w:adjustRightInd w:val="0"/>
        <w:snapToGrid w:val="0"/>
        <w:spacing w:line="400" w:lineRule="exact"/>
        <w:jc w:val="left"/>
        <w:rPr>
          <w:rFonts w:ascii="仿宋" w:hAnsi="仿宋" w:eastAsia="仿宋" w:cstheme="minorBidi"/>
          <w:sz w:val="24"/>
        </w:rPr>
      </w:pPr>
      <w:r>
        <w:rPr>
          <w:rFonts w:hint="eastAsia"/>
          <w:sz w:val="24"/>
        </w:rPr>
        <w:t>五、一般公共预算财政拨款支出决算情况说明</w:t>
      </w:r>
      <w:r>
        <w:rPr>
          <w:sz w:val="24"/>
        </w:rPr>
        <w:t>……</w:t>
      </w:r>
      <w:r>
        <w:rPr>
          <w:rFonts w:hint="eastAsia"/>
          <w:sz w:val="24"/>
        </w:rPr>
        <w:t>.</w:t>
      </w:r>
      <w:r>
        <w:rPr>
          <w:sz w:val="24"/>
        </w:rPr>
        <w:t>…</w:t>
      </w:r>
      <w:r>
        <w:rPr>
          <w:rFonts w:hint="eastAsia"/>
          <w:sz w:val="24"/>
        </w:rPr>
        <w:t>.6</w:t>
      </w:r>
    </w:p>
    <w:p>
      <w:pPr>
        <w:pStyle w:val="11"/>
        <w:adjustRightInd w:val="0"/>
        <w:snapToGrid w:val="0"/>
        <w:spacing w:line="400" w:lineRule="exact"/>
        <w:jc w:val="left"/>
        <w:rPr>
          <w:rFonts w:ascii="仿宋" w:hAnsi="仿宋" w:eastAsia="仿宋" w:cstheme="minorBidi"/>
          <w:sz w:val="24"/>
        </w:rPr>
      </w:pPr>
      <w:r>
        <w:rPr>
          <w:rFonts w:hint="eastAsia"/>
          <w:sz w:val="24"/>
        </w:rPr>
        <w:t>六、一般公共预算财政拨款基本支出决算情况说明..</w:t>
      </w:r>
      <w:r>
        <w:rPr>
          <w:sz w:val="24"/>
        </w:rPr>
        <w:t>…</w:t>
      </w:r>
      <w:r>
        <w:rPr>
          <w:rFonts w:hint="eastAsia"/>
          <w:sz w:val="24"/>
        </w:rPr>
        <w:t>6</w:t>
      </w:r>
    </w:p>
    <w:p>
      <w:pPr>
        <w:pStyle w:val="11"/>
        <w:adjustRightInd w:val="0"/>
        <w:snapToGrid w:val="0"/>
        <w:spacing w:line="40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..9</w:t>
      </w:r>
    </w:p>
    <w:p>
      <w:pPr>
        <w:pStyle w:val="11"/>
        <w:adjustRightInd w:val="0"/>
        <w:snapToGrid w:val="0"/>
        <w:spacing w:line="400" w:lineRule="exact"/>
        <w:jc w:val="left"/>
        <w:rPr>
          <w:rFonts w:ascii="仿宋" w:hAnsi="仿宋" w:eastAsia="仿宋" w:cstheme="minorBidi"/>
          <w:sz w:val="24"/>
        </w:rPr>
      </w:pPr>
      <w:r>
        <w:rPr>
          <w:rFonts w:hint="eastAsia"/>
          <w:sz w:val="24"/>
        </w:rPr>
        <w:t>八、政府性基金预算支出决算情况说明</w:t>
      </w:r>
      <w:r>
        <w:rPr>
          <w:sz w:val="24"/>
        </w:rPr>
        <w:t>……………</w:t>
      </w:r>
      <w:r>
        <w:rPr>
          <w:rFonts w:hint="eastAsia"/>
          <w:sz w:val="24"/>
        </w:rPr>
        <w:t>.</w:t>
      </w:r>
      <w:r>
        <w:rPr>
          <w:sz w:val="24"/>
        </w:rPr>
        <w:t>…</w:t>
      </w:r>
      <w:r>
        <w:rPr>
          <w:rFonts w:hint="eastAsia"/>
          <w:sz w:val="24"/>
        </w:rPr>
        <w:t>..10</w:t>
      </w:r>
    </w:p>
    <w:p>
      <w:pPr>
        <w:pStyle w:val="11"/>
        <w:adjustRightInd w:val="0"/>
        <w:snapToGrid w:val="0"/>
        <w:spacing w:line="40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r>
        <w:rPr>
          <w:sz w:val="24"/>
        </w:rPr>
        <w:t>……………</w:t>
      </w:r>
      <w:r>
        <w:rPr>
          <w:rFonts w:hint="eastAsia"/>
          <w:sz w:val="24"/>
        </w:rPr>
        <w:t>.10</w:t>
      </w:r>
    </w:p>
    <w:p>
      <w:pPr>
        <w:adjustRightInd w:val="0"/>
        <w:snapToGrid w:val="0"/>
        <w:spacing w:line="40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r>
        <w:rPr>
          <w:rFonts w:ascii="仿宋" w:hAnsi="仿宋" w:eastAsia="仿宋"/>
          <w:sz w:val="24"/>
        </w:rPr>
        <w:t>………………</w:t>
      </w:r>
      <w:r>
        <w:rPr>
          <w:rFonts w:hint="eastAsia" w:ascii="仿宋" w:hAnsi="仿宋" w:eastAsia="仿宋"/>
          <w:sz w:val="24"/>
        </w:rPr>
        <w:t>.</w:t>
      </w:r>
      <w:r>
        <w:rPr>
          <w:rFonts w:ascii="仿宋" w:hAnsi="仿宋" w:eastAsia="仿宋"/>
          <w:sz w:val="24"/>
        </w:rPr>
        <w:t>………</w:t>
      </w:r>
      <w:r>
        <w:rPr>
          <w:rFonts w:hint="eastAsia" w:ascii="仿宋" w:hAnsi="仿宋" w:eastAsia="仿宋"/>
          <w:sz w:val="24"/>
        </w:rPr>
        <w:t>10</w:t>
      </w:r>
    </w:p>
    <w:p>
      <w:pPr>
        <w:pStyle w:val="10"/>
        <w:adjustRightInd w:val="0"/>
        <w:snapToGrid w:val="0"/>
        <w:spacing w:before="0" w:line="40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12</w:t>
      </w:r>
    </w:p>
    <w:p>
      <w:pPr>
        <w:pStyle w:val="10"/>
        <w:adjustRightInd w:val="0"/>
        <w:snapToGrid w:val="0"/>
        <w:spacing w:before="0" w:line="40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sz w:val="24"/>
        </w:rPr>
        <w:t>…………………………………………………</w:t>
      </w:r>
      <w:r>
        <w:rPr>
          <w:rFonts w:hint="eastAsia"/>
          <w:sz w:val="24"/>
        </w:rPr>
        <w:t>15</w:t>
      </w:r>
    </w:p>
    <w:p>
      <w:pPr>
        <w:pStyle w:val="11"/>
        <w:adjustRightInd w:val="0"/>
        <w:snapToGrid w:val="0"/>
        <w:spacing w:line="400" w:lineRule="exact"/>
        <w:jc w:val="left"/>
        <w:rPr>
          <w:rFonts w:ascii="仿宋" w:hAnsi="仿宋" w:eastAsia="仿宋" w:cstheme="minorBidi"/>
          <w:sz w:val="24"/>
        </w:rPr>
      </w:pPr>
      <w:r>
        <w:rPr>
          <w:rFonts w:hint="eastAsia"/>
          <w:sz w:val="24"/>
        </w:rPr>
        <w:t>附件</w:t>
      </w:r>
      <w:r>
        <w:rPr>
          <w:sz w:val="24"/>
        </w:rPr>
        <w:t>1………………………………………………</w:t>
      </w:r>
      <w:r>
        <w:rPr>
          <w:rFonts w:hint="eastAsia"/>
          <w:sz w:val="24"/>
        </w:rPr>
        <w:t>.</w:t>
      </w:r>
      <w:r>
        <w:rPr>
          <w:sz w:val="24"/>
        </w:rPr>
        <w:t>………</w:t>
      </w:r>
      <w:r>
        <w:rPr>
          <w:rFonts w:hint="eastAsia"/>
          <w:sz w:val="24"/>
        </w:rPr>
        <w:t>15</w:t>
      </w:r>
    </w:p>
    <w:p>
      <w:pPr>
        <w:pStyle w:val="10"/>
        <w:adjustRightInd w:val="0"/>
        <w:snapToGrid w:val="0"/>
        <w:spacing w:before="0" w:line="40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sz w:val="24"/>
        </w:rPr>
      </w:pPr>
      <w:r>
        <w:rPr>
          <w:rFonts w:hint="eastAsia" w:ascii="仿宋" w:hAnsi="仿宋" w:eastAsia="仿宋"/>
          <w:sz w:val="24"/>
        </w:rPr>
        <w:t>五、财政拨款支出决算明细表</w:t>
      </w:r>
      <w:r>
        <w:rPr>
          <w:rFonts w:ascii="仿宋" w:hAnsi="仿宋" w:eastAsia="仿宋"/>
          <w:sz w:val="24"/>
        </w:rPr>
        <w:t>………………………………</w:t>
      </w:r>
      <w:r>
        <w:rPr>
          <w:rFonts w:hint="eastAsia" w:ascii="仿宋" w:hAnsi="仿宋" w:eastAsia="仿宋"/>
          <w:sz w:val="24"/>
        </w:rPr>
        <w:t xml:space="preserve"> 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r>
        <w:rPr>
          <w:sz w:val="24"/>
        </w:rPr>
        <w:t>………</w:t>
      </w:r>
      <w:r>
        <w:rPr>
          <w:rFonts w:hint="eastAsia"/>
          <w:sz w:val="24"/>
        </w:rPr>
        <w:t>..</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r>
        <w:rPr>
          <w:sz w:val="24"/>
        </w:rPr>
        <w:t>…</w:t>
      </w:r>
      <w:r>
        <w:rPr>
          <w:rFonts w:hint="eastAsia"/>
          <w:sz w:val="24"/>
        </w:rPr>
        <w:t>....</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r>
        <w:rPr>
          <w:sz w:val="24"/>
        </w:rPr>
        <w:t>…</w:t>
      </w:r>
      <w:r>
        <w:rPr>
          <w:rFonts w:hint="eastAsia"/>
          <w:sz w:val="24"/>
        </w:rPr>
        <w:t>19</w:t>
      </w:r>
    </w:p>
    <w:p>
      <w:pPr>
        <w:pStyle w:val="11"/>
        <w:adjustRightInd w:val="0"/>
        <w:snapToGrid w:val="0"/>
        <w:spacing w:line="40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r>
        <w:rPr>
          <w:sz w:val="24"/>
        </w:rPr>
        <w:t>…………………………</w:t>
      </w:r>
      <w:r>
        <w:rPr>
          <w:rFonts w:hint="eastAsia"/>
          <w:sz w:val="24"/>
        </w:rPr>
        <w:t>..19</w:t>
      </w:r>
    </w:p>
    <w:p>
      <w:pPr>
        <w:pStyle w:val="2"/>
        <w:jc w:val="center"/>
      </w:pPr>
      <w:bookmarkStart w:id="12" w:name="_Toc15377196"/>
      <w:bookmarkStart w:id="13" w:name="_Toc15396599"/>
      <w:r>
        <w:rPr>
          <w:rFonts w:ascii="仿宋" w:hAnsi="仿宋" w:eastAsia="仿宋"/>
          <w:sz w:val="24"/>
        </w:rPr>
        <w:br w:type="page"/>
      </w:r>
      <w:r>
        <w:rPr>
          <w:rFonts w:hint="eastAsia"/>
        </w:rPr>
        <w:t>第一部分 部门概况</w:t>
      </w:r>
      <w:bookmarkEnd w:id="12"/>
      <w:bookmarkEnd w:id="13"/>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588" w:firstLineChars="210"/>
        <w:outlineLvl w:val="2"/>
        <w:rPr>
          <w:rFonts w:ascii="仿宋" w:hAnsi="仿宋" w:eastAsia="仿宋"/>
          <w:bCs/>
          <w:color w:val="000000"/>
          <w:sz w:val="28"/>
          <w:szCs w:val="28"/>
        </w:rPr>
      </w:pPr>
      <w:bookmarkStart w:id="16" w:name="_Toc15378445"/>
      <w:bookmarkStart w:id="17" w:name="_Toc15377198"/>
      <w:r>
        <w:rPr>
          <w:rFonts w:hint="eastAsia" w:ascii="仿宋" w:hAnsi="仿宋" w:eastAsia="仿宋"/>
          <w:bCs/>
          <w:color w:val="000000"/>
          <w:sz w:val="28"/>
          <w:szCs w:val="28"/>
        </w:rPr>
        <w:t>（一）主要职能。</w:t>
      </w:r>
    </w:p>
    <w:p>
      <w:pPr>
        <w:pStyle w:val="5"/>
        <w:adjustRightInd w:val="0"/>
        <w:snapToGrid w:val="0"/>
        <w:spacing w:before="93" w:line="560" w:lineRule="exact"/>
        <w:ind w:firstLine="588" w:firstLineChars="210"/>
        <w:rPr>
          <w:rFonts w:ascii="仿宋" w:hAnsi="仿宋" w:eastAsia="仿宋"/>
          <w:bCs/>
          <w:sz w:val="28"/>
          <w:szCs w:val="28"/>
        </w:rPr>
      </w:pPr>
      <w:r>
        <w:rPr>
          <w:rFonts w:ascii="仿宋" w:hAnsi="仿宋" w:eastAsia="仿宋"/>
          <w:sz w:val="28"/>
          <w:szCs w:val="28"/>
        </w:rPr>
        <w:t>1.</w:t>
      </w:r>
      <w:r>
        <w:rPr>
          <w:rFonts w:hint="eastAsia" w:ascii="仿宋" w:hAnsi="仿宋" w:eastAsia="仿宋"/>
          <w:sz w:val="28"/>
          <w:szCs w:val="28"/>
        </w:rPr>
        <w:t>开展环境质量监测。</w:t>
      </w:r>
      <w:r>
        <w:rPr>
          <w:rFonts w:ascii="仿宋" w:hAnsi="仿宋" w:eastAsia="仿宋"/>
          <w:sz w:val="28"/>
          <w:szCs w:val="28"/>
        </w:rPr>
        <w:t>2.</w:t>
      </w:r>
      <w:r>
        <w:rPr>
          <w:rFonts w:hint="eastAsia" w:ascii="仿宋" w:hAnsi="仿宋" w:eastAsia="仿宋"/>
          <w:sz w:val="28"/>
          <w:szCs w:val="28"/>
        </w:rPr>
        <w:t>具体实施对污染源排污状况的监督性监测，建立污染源排污监测档案。</w:t>
      </w:r>
      <w:r>
        <w:rPr>
          <w:rFonts w:ascii="仿宋" w:hAnsi="仿宋" w:eastAsia="仿宋"/>
          <w:sz w:val="28"/>
          <w:szCs w:val="28"/>
        </w:rPr>
        <w:t>3.</w:t>
      </w:r>
      <w:r>
        <w:rPr>
          <w:rFonts w:hint="eastAsia" w:ascii="仿宋" w:hAnsi="仿宋" w:eastAsia="仿宋"/>
          <w:sz w:val="28"/>
          <w:szCs w:val="28"/>
        </w:rPr>
        <w:t>对排污单位的申报监测结果进行审核，对有异议的数据进行抽测，对排污单位安装的连续自动监测仪器进行质量控制。</w:t>
      </w:r>
      <w:r>
        <w:rPr>
          <w:rFonts w:ascii="仿宋" w:hAnsi="仿宋" w:eastAsia="仿宋"/>
          <w:sz w:val="28"/>
          <w:szCs w:val="28"/>
        </w:rPr>
        <w:t>4.</w:t>
      </w:r>
      <w:r>
        <w:rPr>
          <w:rFonts w:hint="eastAsia" w:ascii="仿宋" w:hAnsi="仿宋" w:eastAsia="仿宋"/>
          <w:sz w:val="28"/>
          <w:szCs w:val="28"/>
        </w:rPr>
        <w:t>开展突发污染事件应急监测与污染纠纷仲裁监测，参加本地区重大污染事故调查。</w:t>
      </w:r>
      <w:r>
        <w:rPr>
          <w:rFonts w:ascii="仿宋" w:hAnsi="仿宋" w:eastAsia="仿宋"/>
          <w:sz w:val="28"/>
          <w:szCs w:val="28"/>
        </w:rPr>
        <w:t>5.</w:t>
      </w:r>
      <w:r>
        <w:rPr>
          <w:rFonts w:hint="eastAsia" w:ascii="仿宋" w:hAnsi="仿宋" w:eastAsia="仿宋"/>
          <w:sz w:val="28"/>
          <w:szCs w:val="28"/>
        </w:rPr>
        <w:t>向主管部门环境保护局报告污染源监督监测结果，提交排污单位经审核合格后的监测数据，供环境保护局作为执法管理的依据。</w:t>
      </w:r>
      <w:r>
        <w:rPr>
          <w:rFonts w:ascii="仿宋" w:hAnsi="仿宋" w:eastAsia="仿宋"/>
          <w:sz w:val="28"/>
          <w:szCs w:val="28"/>
        </w:rPr>
        <w:t>6.</w:t>
      </w:r>
      <w:r>
        <w:rPr>
          <w:rFonts w:hint="eastAsia" w:ascii="仿宋" w:hAnsi="仿宋" w:eastAsia="仿宋"/>
          <w:sz w:val="28"/>
          <w:szCs w:val="28"/>
        </w:rPr>
        <w:t>承担主管部门环境保护局和上级环境保护局下达的污染源监督监测任务，为环境管理提供技术支持。7</w:t>
      </w:r>
      <w:r>
        <w:rPr>
          <w:rFonts w:ascii="仿宋" w:hAnsi="仿宋" w:eastAsia="仿宋"/>
          <w:sz w:val="28"/>
          <w:szCs w:val="28"/>
        </w:rPr>
        <w:t>.</w:t>
      </w:r>
      <w:r>
        <w:rPr>
          <w:rFonts w:hint="eastAsia" w:ascii="仿宋" w:hAnsi="仿宋" w:eastAsia="仿宋"/>
          <w:sz w:val="28"/>
          <w:szCs w:val="28"/>
        </w:rPr>
        <w:t>为社会有关单位提供各种技术服务。8</w:t>
      </w:r>
      <w:r>
        <w:rPr>
          <w:rFonts w:ascii="仿宋" w:hAnsi="仿宋" w:eastAsia="仿宋"/>
          <w:sz w:val="28"/>
          <w:szCs w:val="28"/>
        </w:rPr>
        <w:t>.</w:t>
      </w:r>
      <w:r>
        <w:rPr>
          <w:rFonts w:hint="eastAsia" w:ascii="仿宋" w:hAnsi="仿宋" w:eastAsia="仿宋"/>
          <w:sz w:val="28"/>
          <w:szCs w:val="28"/>
        </w:rPr>
        <w:t>承办上级交办的其他工作。</w:t>
      </w:r>
    </w:p>
    <w:bookmarkEnd w:id="16"/>
    <w:bookmarkEnd w:id="17"/>
    <w:p>
      <w:pPr>
        <w:pStyle w:val="5"/>
        <w:adjustRightInd w:val="0"/>
        <w:snapToGrid w:val="0"/>
        <w:spacing w:before="93" w:line="600" w:lineRule="exact"/>
        <w:ind w:firstLine="588" w:firstLineChars="210"/>
        <w:outlineLvl w:val="2"/>
        <w:rPr>
          <w:rFonts w:ascii="仿宋" w:hAnsi="仿宋" w:eastAsia="仿宋"/>
          <w:bCs/>
          <w:color w:val="000000"/>
          <w:sz w:val="28"/>
          <w:szCs w:val="28"/>
        </w:rPr>
      </w:pPr>
      <w:bookmarkStart w:id="18" w:name="_Toc15378446"/>
      <w:bookmarkStart w:id="19" w:name="_Toc15377199"/>
      <w:r>
        <w:rPr>
          <w:rFonts w:hint="eastAsia" w:ascii="仿宋" w:hAnsi="仿宋" w:eastAsia="仿宋"/>
          <w:bCs/>
          <w:color w:val="000000"/>
          <w:sz w:val="28"/>
          <w:szCs w:val="28"/>
        </w:rPr>
        <w:t>（二）</w:t>
      </w:r>
      <w:r>
        <w:rPr>
          <w:rFonts w:ascii="仿宋" w:hAnsi="仿宋" w:eastAsia="仿宋"/>
          <w:bCs/>
          <w:color w:val="000000"/>
          <w:sz w:val="28"/>
          <w:szCs w:val="28"/>
        </w:rPr>
        <w:t>201</w:t>
      </w:r>
      <w:r>
        <w:rPr>
          <w:rFonts w:hint="eastAsia" w:ascii="仿宋" w:hAnsi="仿宋" w:eastAsia="仿宋"/>
          <w:bCs/>
          <w:color w:val="000000"/>
          <w:sz w:val="28"/>
          <w:szCs w:val="28"/>
        </w:rPr>
        <w:t>9年重点工作完成情况。</w:t>
      </w:r>
      <w:bookmarkEnd w:id="18"/>
      <w:bookmarkEnd w:id="19"/>
    </w:p>
    <w:p>
      <w:pPr>
        <w:spacing w:line="353" w:lineRule="auto"/>
        <w:ind w:firstLine="630"/>
        <w:rPr>
          <w:rFonts w:ascii="仿宋" w:hAnsi="仿宋" w:eastAsia="仿宋"/>
          <w:sz w:val="28"/>
          <w:szCs w:val="28"/>
        </w:rPr>
      </w:pPr>
      <w:r>
        <w:rPr>
          <w:rFonts w:ascii="仿宋" w:hAnsi="仿宋" w:eastAsia="仿宋"/>
          <w:bCs/>
          <w:sz w:val="28"/>
          <w:szCs w:val="28"/>
        </w:rPr>
        <w:t>一是</w:t>
      </w:r>
      <w:r>
        <w:rPr>
          <w:rFonts w:ascii="仿宋" w:hAnsi="仿宋" w:eastAsia="仿宋"/>
          <w:sz w:val="28"/>
          <w:szCs w:val="28"/>
        </w:rPr>
        <w:t>认真贯彻执行环境监测相关技术规范和质量管理有关规定。按照新的《质量手册》《程序文件》</w:t>
      </w:r>
      <w:r>
        <w:rPr>
          <w:rFonts w:hint="eastAsia" w:ascii="仿宋" w:hAnsi="仿宋" w:eastAsia="仿宋"/>
          <w:sz w:val="28"/>
          <w:szCs w:val="28"/>
        </w:rPr>
        <w:t>，</w:t>
      </w:r>
      <w:r>
        <w:rPr>
          <w:rFonts w:ascii="仿宋" w:hAnsi="仿宋" w:eastAsia="仿宋"/>
          <w:sz w:val="28"/>
          <w:szCs w:val="28"/>
        </w:rPr>
        <w:t>围绕各项环境监测任务有序开展质控工作，制定了内部审核管理评审计划、仪器设备量值溯源计划、质量监督计划。认真组织开展质量体系内部审核，并</w:t>
      </w:r>
      <w:r>
        <w:rPr>
          <w:rFonts w:ascii="仿宋" w:hAnsi="仿宋" w:eastAsia="仿宋"/>
          <w:color w:val="000000"/>
          <w:spacing w:val="4"/>
          <w:sz w:val="28"/>
          <w:szCs w:val="28"/>
        </w:rPr>
        <w:t>于2019年7月通过攀枝花市质量技术监督局的监督检查。</w:t>
      </w:r>
      <w:r>
        <w:rPr>
          <w:rFonts w:ascii="仿宋" w:hAnsi="仿宋" w:eastAsia="仿宋"/>
          <w:sz w:val="28"/>
          <w:szCs w:val="28"/>
        </w:rPr>
        <w:t>按照《检验检测机构资质认定能力评价 检验检测机构通用要求》《检验检测机构资质认定能力评价 生态环境监测机构评审补充要求》相关规定，对体系文件进行了改版。对</w:t>
      </w:r>
      <w:r>
        <w:rPr>
          <w:rFonts w:hint="eastAsia" w:ascii="仿宋" w:hAnsi="仿宋" w:eastAsia="仿宋"/>
          <w:sz w:val="28"/>
          <w:szCs w:val="28"/>
        </w:rPr>
        <w:t>标</w:t>
      </w:r>
      <w:r>
        <w:rPr>
          <w:rFonts w:ascii="仿宋" w:hAnsi="仿宋" w:eastAsia="仿宋"/>
          <w:sz w:val="28"/>
          <w:szCs w:val="28"/>
        </w:rPr>
        <w:t>《四川省生态环境监测质量监督检查三年行动计划（2018-2020年）》要求，严格开展自查和整改。</w:t>
      </w:r>
    </w:p>
    <w:p>
      <w:pPr>
        <w:spacing w:line="353" w:lineRule="auto"/>
        <w:ind w:firstLine="630"/>
        <w:rPr>
          <w:rFonts w:ascii="仿宋" w:hAnsi="仿宋" w:eastAsia="仿宋"/>
          <w:sz w:val="28"/>
          <w:szCs w:val="28"/>
        </w:rPr>
      </w:pPr>
      <w:r>
        <w:rPr>
          <w:rFonts w:ascii="仿宋" w:hAnsi="仿宋" w:eastAsia="仿宋"/>
          <w:bCs/>
          <w:sz w:val="28"/>
          <w:szCs w:val="28"/>
        </w:rPr>
        <w:t>二是</w:t>
      </w:r>
      <w:r>
        <w:rPr>
          <w:rFonts w:ascii="仿宋" w:hAnsi="仿宋" w:eastAsia="仿宋"/>
          <w:sz w:val="28"/>
          <w:szCs w:val="28"/>
        </w:rPr>
        <w:t>强化监测人员能力提升。先后组织</w:t>
      </w:r>
      <w:r>
        <w:rPr>
          <w:rFonts w:hint="eastAsia" w:ascii="仿宋" w:hAnsi="仿宋" w:eastAsia="仿宋"/>
          <w:sz w:val="28"/>
          <w:szCs w:val="28"/>
        </w:rPr>
        <w:t>4</w:t>
      </w:r>
      <w:r>
        <w:rPr>
          <w:rFonts w:ascii="仿宋" w:hAnsi="仿宋" w:eastAsia="仿宋"/>
          <w:sz w:val="28"/>
          <w:szCs w:val="28"/>
        </w:rPr>
        <w:t>人次参加了固定污染源超低排放监测技术培训、环境监测相关政策解读、国家环境监测新标准宣贯及研讨和四川省环境监测质量管理人员上岗考核，不断提升监测人员理论水平</w:t>
      </w:r>
      <w:r>
        <w:rPr>
          <w:rFonts w:hint="eastAsia" w:ascii="仿宋" w:hAnsi="仿宋" w:eastAsia="仿宋"/>
          <w:sz w:val="28"/>
          <w:szCs w:val="28"/>
        </w:rPr>
        <w:t>。</w:t>
      </w:r>
      <w:r>
        <w:rPr>
          <w:rFonts w:ascii="仿宋" w:hAnsi="仿宋" w:eastAsia="仿宋"/>
          <w:sz w:val="28"/>
          <w:szCs w:val="28"/>
        </w:rPr>
        <w:t>积极参加了四川省环境监测机构实验室间氟化物、二氧化硫比对考核，</w:t>
      </w:r>
      <w:r>
        <w:rPr>
          <w:rFonts w:hint="eastAsia" w:ascii="仿宋" w:hAnsi="仿宋" w:eastAsia="仿宋"/>
          <w:sz w:val="28"/>
          <w:szCs w:val="28"/>
        </w:rPr>
        <w:t>比对考核结果合格</w:t>
      </w:r>
      <w:r>
        <w:rPr>
          <w:rFonts w:ascii="仿宋" w:hAnsi="仿宋" w:eastAsia="仿宋"/>
          <w:sz w:val="28"/>
          <w:szCs w:val="28"/>
        </w:rPr>
        <w:t>。认真组织人员参加全市环境监测系统应急监测演练，提升应急反应、事故现场布点采样、快速准确分析等能力。</w:t>
      </w:r>
    </w:p>
    <w:p>
      <w:pPr>
        <w:spacing w:line="353" w:lineRule="auto"/>
        <w:ind w:firstLine="630"/>
        <w:rPr>
          <w:rFonts w:ascii="仿宋" w:hAnsi="仿宋" w:eastAsia="仿宋"/>
          <w:sz w:val="28"/>
          <w:szCs w:val="28"/>
        </w:rPr>
      </w:pPr>
      <w:r>
        <w:rPr>
          <w:rFonts w:ascii="仿宋" w:hAnsi="仿宋" w:eastAsia="仿宋"/>
          <w:bCs/>
          <w:sz w:val="28"/>
          <w:szCs w:val="28"/>
        </w:rPr>
        <w:t>三是</w:t>
      </w:r>
      <w:r>
        <w:rPr>
          <w:rFonts w:ascii="仿宋" w:hAnsi="仿宋" w:eastAsia="仿宋"/>
          <w:sz w:val="28"/>
          <w:szCs w:val="28"/>
        </w:rPr>
        <w:t>牵头起草年度监测计划并认真组织实施。完成胜利水库水质每季度水质监测、以及胜利水库和大纸房水库应急监测各1次；完成平地镇跃进水库等5个集中式饮用水水源地的季度监测</w:t>
      </w:r>
      <w:r>
        <w:rPr>
          <w:rFonts w:hint="eastAsia" w:ascii="仿宋" w:hAnsi="仿宋" w:eastAsia="仿宋"/>
          <w:sz w:val="28"/>
          <w:szCs w:val="28"/>
        </w:rPr>
        <w:t>和</w:t>
      </w:r>
      <w:r>
        <w:rPr>
          <w:rFonts w:ascii="仿宋" w:hAnsi="仿宋" w:eastAsia="仿宋"/>
          <w:sz w:val="28"/>
          <w:szCs w:val="28"/>
        </w:rPr>
        <w:t>白岩弯水库</w:t>
      </w:r>
      <w:r>
        <w:rPr>
          <w:rFonts w:hint="eastAsia" w:ascii="仿宋" w:hAnsi="仿宋" w:eastAsia="仿宋"/>
          <w:sz w:val="28"/>
          <w:szCs w:val="28"/>
        </w:rPr>
        <w:t>、</w:t>
      </w:r>
      <w:r>
        <w:rPr>
          <w:rFonts w:ascii="仿宋" w:hAnsi="仿宋" w:eastAsia="仿宋"/>
          <w:sz w:val="28"/>
          <w:szCs w:val="28"/>
        </w:rPr>
        <w:t>观音岩水库</w:t>
      </w:r>
      <w:r>
        <w:rPr>
          <w:rFonts w:hint="eastAsia" w:ascii="仿宋" w:hAnsi="仿宋" w:eastAsia="仿宋"/>
          <w:sz w:val="28"/>
          <w:szCs w:val="28"/>
        </w:rPr>
        <w:t>水质</w:t>
      </w:r>
      <w:r>
        <w:rPr>
          <w:rFonts w:ascii="仿宋" w:hAnsi="仿宋" w:eastAsia="仿宋"/>
          <w:sz w:val="28"/>
          <w:szCs w:val="28"/>
        </w:rPr>
        <w:t>监测。组织开展地表水环境质量监测，完成大河等1</w:t>
      </w:r>
      <w:r>
        <w:rPr>
          <w:rFonts w:hint="eastAsia" w:ascii="仿宋" w:hAnsi="仿宋" w:eastAsia="仿宋"/>
          <w:sz w:val="28"/>
          <w:szCs w:val="28"/>
        </w:rPr>
        <w:t>1</w:t>
      </w:r>
      <w:r>
        <w:rPr>
          <w:rFonts w:ascii="仿宋" w:hAnsi="仿宋" w:eastAsia="仿宋"/>
          <w:sz w:val="28"/>
          <w:szCs w:val="28"/>
        </w:rPr>
        <w:t>条主要河流</w:t>
      </w:r>
      <w:r>
        <w:rPr>
          <w:rFonts w:hint="eastAsia" w:ascii="仿宋" w:hAnsi="仿宋" w:eastAsia="仿宋"/>
          <w:sz w:val="28"/>
          <w:szCs w:val="28"/>
        </w:rPr>
        <w:t>丰</w:t>
      </w:r>
      <w:r>
        <w:rPr>
          <w:rFonts w:ascii="仿宋" w:hAnsi="仿宋" w:eastAsia="仿宋"/>
          <w:sz w:val="28"/>
          <w:szCs w:val="28"/>
        </w:rPr>
        <w:t>水质监测两次。组织开展污染源监督性监测，完成忠恒工贸、中节能、旺能等的废气监督性监测</w:t>
      </w:r>
      <w:r>
        <w:rPr>
          <w:rFonts w:hint="eastAsia" w:ascii="仿宋" w:hAnsi="仿宋" w:eastAsia="仿宋"/>
          <w:sz w:val="28"/>
          <w:szCs w:val="28"/>
        </w:rPr>
        <w:t>。</w:t>
      </w:r>
      <w:r>
        <w:rPr>
          <w:rFonts w:ascii="仿宋" w:hAnsi="仿宋" w:eastAsia="仿宋"/>
          <w:sz w:val="28"/>
          <w:szCs w:val="28"/>
        </w:rPr>
        <w:t>组织开展环境噪声监测，完成仁和区辖区41个点的区域环境噪声以及6条交通干线的噪声监测，多次开展风电等群众噪声投诉监测</w:t>
      </w:r>
      <w:r>
        <w:rPr>
          <w:rFonts w:hint="eastAsia" w:ascii="仿宋" w:hAnsi="仿宋" w:eastAsia="仿宋"/>
          <w:sz w:val="28"/>
          <w:szCs w:val="28"/>
        </w:rPr>
        <w:t>；</w:t>
      </w:r>
      <w:r>
        <w:rPr>
          <w:rFonts w:ascii="仿宋" w:hAnsi="仿宋" w:eastAsia="仿宋"/>
          <w:sz w:val="28"/>
          <w:szCs w:val="28"/>
        </w:rPr>
        <w:t>完成中节能及攀钢冷轧厂在线监测系统比对监测工作</w:t>
      </w:r>
      <w:r>
        <w:rPr>
          <w:rFonts w:hint="eastAsia" w:ascii="仿宋" w:hAnsi="仿宋" w:eastAsia="仿宋"/>
          <w:sz w:val="28"/>
          <w:szCs w:val="28"/>
        </w:rPr>
        <w:t>。</w:t>
      </w:r>
      <w:r>
        <w:rPr>
          <w:rFonts w:ascii="仿宋" w:hAnsi="仿宋" w:eastAsia="仿宋"/>
          <w:sz w:val="28"/>
          <w:szCs w:val="28"/>
        </w:rPr>
        <w:t>全年出具监测报告50份。</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700" w:firstLineChars="250"/>
        <w:rPr>
          <w:rFonts w:ascii="仿宋" w:hAnsi="仿宋" w:eastAsia="仿宋"/>
          <w:sz w:val="28"/>
          <w:szCs w:val="28"/>
        </w:rPr>
      </w:pPr>
      <w:r>
        <w:rPr>
          <w:rFonts w:hint="eastAsia" w:ascii="仿宋" w:hAnsi="仿宋" w:eastAsia="仿宋"/>
          <w:sz w:val="28"/>
          <w:szCs w:val="28"/>
        </w:rPr>
        <w:t>仁和区环境监测站下属二级单位0个。</w:t>
      </w:r>
      <w:r>
        <w:rPr>
          <w:rFonts w:ascii="仿宋" w:hAnsi="仿宋" w:eastAsia="仿宋"/>
          <w:sz w:val="28"/>
          <w:szCs w:val="28"/>
        </w:rPr>
        <w:t xml:space="preserve"> </w:t>
      </w:r>
    </w:p>
    <w:p>
      <w:pPr>
        <w:ind w:firstLine="700" w:firstLineChars="250"/>
        <w:rPr>
          <w:rFonts w:ascii="仿宋" w:hAnsi="仿宋" w:eastAsia="仿宋"/>
          <w:sz w:val="28"/>
          <w:szCs w:val="28"/>
        </w:rPr>
      </w:pPr>
    </w:p>
    <w:p>
      <w:pPr>
        <w:pStyle w:val="2"/>
      </w:pPr>
      <w:r>
        <w:rPr>
          <w:rFonts w:hint="eastAsia" w:ascii="仿宋" w:hAnsi="仿宋" w:eastAsia="仿宋"/>
          <w:color w:val="000000"/>
        </w:rPr>
        <w:t xml:space="preserve">   </w:t>
      </w:r>
      <w:bookmarkStart w:id="22" w:name="_Toc15377204"/>
      <w:bookmarkStart w:id="23" w:name="_Toc15396602"/>
      <w:r>
        <w:rPr>
          <w:rFonts w:hint="eastAsia"/>
          <w:color w:val="000000"/>
        </w:rPr>
        <w:t xml:space="preserve">第二部分  </w:t>
      </w:r>
      <w:r>
        <w:rPr>
          <w:rFonts w:hint="eastAsia"/>
        </w:rPr>
        <w:t>2019年度部门决算情况说明</w:t>
      </w:r>
      <w:bookmarkEnd w:id="22"/>
      <w:bookmarkEnd w:id="23"/>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2019年度收、支总计322.33万元。与2018年相比，收、支总计各增加44.83万元，增长16.15</w:t>
      </w:r>
      <w:r>
        <w:rPr>
          <w:rFonts w:ascii="仿宋" w:hAnsi="仿宋" w:eastAsia="仿宋"/>
          <w:color w:val="000000"/>
          <w:sz w:val="28"/>
          <w:szCs w:val="28"/>
        </w:rPr>
        <w:t>%</w:t>
      </w:r>
      <w:r>
        <w:rPr>
          <w:rFonts w:hint="eastAsia" w:ascii="仿宋" w:hAnsi="仿宋" w:eastAsia="仿宋"/>
          <w:color w:val="000000"/>
          <w:sz w:val="28"/>
          <w:szCs w:val="28"/>
        </w:rPr>
        <w:t>。主要变动原因是2019年度购监测设备一批。</w:t>
      </w:r>
      <w:r>
        <w:rPr>
          <w:rFonts w:hint="eastAsia" w:ascii="仿宋" w:hAnsi="仿宋" w:eastAsia="仿宋"/>
          <w:color w:val="000000" w:themeColor="text1"/>
          <w:sz w:val="28"/>
          <w:szCs w:val="28"/>
        </w:rPr>
        <w:t>（图</w:t>
      </w:r>
      <w:r>
        <w:rPr>
          <w:rFonts w:ascii="仿宋" w:hAnsi="仿宋" w:eastAsia="仿宋"/>
          <w:color w:val="000000" w:themeColor="text1"/>
          <w:sz w:val="28"/>
          <w:szCs w:val="28"/>
        </w:rPr>
        <w:t>1</w:t>
      </w:r>
      <w:r>
        <w:rPr>
          <w:rFonts w:hint="eastAsia" w:ascii="仿宋" w:hAnsi="仿宋" w:eastAsia="仿宋"/>
          <w:color w:val="000000" w:themeColor="text1"/>
          <w:sz w:val="28"/>
          <w:szCs w:val="28"/>
        </w:rPr>
        <w:t>：收、支决算总计变动情况图）</w:t>
      </w:r>
    </w:p>
    <w:p>
      <w:pPr>
        <w:jc w:val="center"/>
      </w:pPr>
      <w:r>
        <w:drawing>
          <wp:inline distT="0" distB="0" distL="0" distR="0">
            <wp:extent cx="2978150" cy="178054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560" w:firstLineChars="200"/>
        <w:outlineLvl w:val="1"/>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9年本年收入合计258.33万元，其中：一般公共预算财政拨款收入258.33万元，占100</w:t>
      </w:r>
      <w:r>
        <w:rPr>
          <w:rFonts w:ascii="仿宋" w:hAnsi="仿宋" w:eastAsia="仿宋"/>
          <w:color w:val="000000"/>
          <w:sz w:val="28"/>
          <w:szCs w:val="28"/>
        </w:rPr>
        <w:t>%</w:t>
      </w:r>
      <w:r>
        <w:rPr>
          <w:rFonts w:hint="eastAsia" w:ascii="仿宋" w:hAnsi="仿宋" w:eastAsia="仿宋"/>
          <w:color w:val="000000"/>
          <w:sz w:val="28"/>
          <w:szCs w:val="28"/>
        </w:rPr>
        <w:t>。</w:t>
      </w:r>
      <w:r>
        <w:rPr>
          <w:rFonts w:hint="eastAsia" w:ascii="仿宋" w:hAnsi="仿宋" w:eastAsia="仿宋"/>
          <w:color w:val="000000" w:themeColor="text1"/>
          <w:sz w:val="28"/>
          <w:szCs w:val="28"/>
        </w:rPr>
        <w:t>（图2：收入决算结构图）</w:t>
      </w:r>
    </w:p>
    <w:p>
      <w:pPr>
        <w:jc w:val="center"/>
      </w:pPr>
      <w:r>
        <w:drawing>
          <wp:inline distT="0" distB="0" distL="0" distR="0">
            <wp:extent cx="3188335" cy="190817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560" w:firstLineChars="200"/>
        <w:outlineLvl w:val="1"/>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9年本年支出合计307.71万元，其中：基本支出206.38万元，占67.04</w:t>
      </w:r>
      <w:r>
        <w:rPr>
          <w:rFonts w:ascii="仿宋" w:hAnsi="仿宋" w:eastAsia="仿宋"/>
          <w:color w:val="000000"/>
          <w:sz w:val="28"/>
          <w:szCs w:val="28"/>
        </w:rPr>
        <w:t>%</w:t>
      </w:r>
      <w:r>
        <w:rPr>
          <w:rFonts w:hint="eastAsia" w:ascii="仿宋" w:hAnsi="仿宋" w:eastAsia="仿宋"/>
          <w:color w:val="000000"/>
          <w:sz w:val="28"/>
          <w:szCs w:val="28"/>
        </w:rPr>
        <w:t>；项目支出101.43万元，占32.96</w:t>
      </w:r>
      <w:r>
        <w:rPr>
          <w:rFonts w:ascii="仿宋" w:hAnsi="仿宋" w:eastAsia="仿宋"/>
          <w:color w:val="000000"/>
          <w:sz w:val="28"/>
          <w:szCs w:val="28"/>
        </w:rPr>
        <w:t>%</w:t>
      </w:r>
      <w:r>
        <w:rPr>
          <w:rFonts w:hint="eastAsia" w:ascii="仿宋" w:hAnsi="仿宋" w:eastAsia="仿宋"/>
          <w:color w:val="000000"/>
          <w:sz w:val="28"/>
          <w:szCs w:val="28"/>
        </w:rPr>
        <w:t>。</w:t>
      </w:r>
      <w:r>
        <w:rPr>
          <w:rFonts w:hint="eastAsia" w:ascii="仿宋" w:hAnsi="仿宋" w:eastAsia="仿宋"/>
          <w:color w:val="000000" w:themeColor="text1"/>
          <w:sz w:val="28"/>
          <w:szCs w:val="28"/>
        </w:rPr>
        <w:t>（图3：支出决算结构图）</w:t>
      </w:r>
    </w:p>
    <w:p>
      <w:pPr>
        <w:jc w:val="center"/>
      </w:pPr>
      <w:r>
        <w:drawing>
          <wp:inline distT="0" distB="0" distL="0" distR="0">
            <wp:extent cx="2715895" cy="1717040"/>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560" w:firstLineChars="200"/>
        <w:rPr>
          <w:rFonts w:ascii="仿宋" w:hAnsi="仿宋" w:eastAsia="仿宋"/>
          <w:color w:val="000000" w:themeColor="text1"/>
          <w:sz w:val="28"/>
          <w:szCs w:val="28"/>
        </w:rPr>
      </w:pPr>
      <w:r>
        <w:rPr>
          <w:rFonts w:ascii="仿宋" w:hAnsi="仿宋" w:eastAsia="仿宋"/>
          <w:color w:val="000000"/>
          <w:sz w:val="28"/>
          <w:szCs w:val="28"/>
        </w:rPr>
        <w:t>201</w:t>
      </w:r>
      <w:r>
        <w:rPr>
          <w:rFonts w:hint="eastAsia" w:ascii="仿宋" w:hAnsi="仿宋" w:eastAsia="仿宋"/>
          <w:color w:val="000000"/>
          <w:sz w:val="28"/>
          <w:szCs w:val="28"/>
        </w:rPr>
        <w:t>9年财政拨款收、支总计322.33万元。与</w:t>
      </w:r>
      <w:r>
        <w:rPr>
          <w:rFonts w:ascii="仿宋" w:hAnsi="仿宋" w:eastAsia="仿宋"/>
          <w:color w:val="000000"/>
          <w:sz w:val="28"/>
          <w:szCs w:val="28"/>
        </w:rPr>
        <w:t>201</w:t>
      </w:r>
      <w:r>
        <w:rPr>
          <w:rFonts w:hint="eastAsia" w:ascii="仿宋" w:hAnsi="仿宋" w:eastAsia="仿宋"/>
          <w:color w:val="000000"/>
          <w:sz w:val="28"/>
          <w:szCs w:val="28"/>
        </w:rPr>
        <w:t>8年相比，财政拨款收、支总计各增加44.83万元，增长16.15</w:t>
      </w:r>
      <w:r>
        <w:rPr>
          <w:rFonts w:ascii="仿宋" w:hAnsi="仿宋" w:eastAsia="仿宋"/>
          <w:color w:val="000000"/>
          <w:sz w:val="28"/>
          <w:szCs w:val="28"/>
        </w:rPr>
        <w:t>%</w:t>
      </w:r>
      <w:r>
        <w:rPr>
          <w:rFonts w:hint="eastAsia" w:ascii="仿宋" w:hAnsi="仿宋" w:eastAsia="仿宋"/>
          <w:color w:val="000000"/>
          <w:sz w:val="28"/>
          <w:szCs w:val="28"/>
        </w:rPr>
        <w:t>。主要变动原因是2019年度购监测设备一批。</w:t>
      </w:r>
      <w:r>
        <w:rPr>
          <w:rFonts w:hint="eastAsia" w:ascii="仿宋" w:hAnsi="仿宋" w:eastAsia="仿宋"/>
          <w:color w:val="000000" w:themeColor="text1"/>
          <w:sz w:val="28"/>
          <w:szCs w:val="28"/>
        </w:rPr>
        <w:t>（图4：财政拨款收、支决算总计变动情况）</w:t>
      </w:r>
    </w:p>
    <w:p>
      <w:pPr>
        <w:spacing w:line="600" w:lineRule="exact"/>
        <w:ind w:firstLine="560" w:firstLineChars="200"/>
        <w:rPr>
          <w:rFonts w:ascii="仿宋" w:hAnsi="仿宋" w:eastAsia="仿宋"/>
          <w:color w:val="000000"/>
          <w:sz w:val="28"/>
          <w:szCs w:val="28"/>
        </w:rPr>
      </w:pPr>
    </w:p>
    <w:p>
      <w:pPr>
        <w:jc w:val="center"/>
      </w:pPr>
      <w:r>
        <w:drawing>
          <wp:inline distT="0" distB="0" distL="0" distR="0">
            <wp:extent cx="2978150" cy="178054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560" w:firstLineChars="20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9年一般公共预算财政拨款支出307.71万元，占本年支出合计的100</w:t>
      </w:r>
      <w:r>
        <w:rPr>
          <w:rFonts w:ascii="仿宋" w:hAnsi="仿宋" w:eastAsia="仿宋"/>
          <w:color w:val="000000"/>
          <w:sz w:val="28"/>
          <w:szCs w:val="28"/>
        </w:rPr>
        <w:t>%</w:t>
      </w:r>
      <w:r>
        <w:rPr>
          <w:rFonts w:hint="eastAsia" w:ascii="仿宋" w:hAnsi="仿宋" w:eastAsia="仿宋"/>
          <w:color w:val="000000"/>
          <w:sz w:val="28"/>
          <w:szCs w:val="28"/>
        </w:rPr>
        <w:t>。与</w:t>
      </w:r>
      <w:r>
        <w:rPr>
          <w:rFonts w:ascii="仿宋" w:hAnsi="仿宋" w:eastAsia="仿宋"/>
          <w:color w:val="000000"/>
          <w:sz w:val="28"/>
          <w:szCs w:val="28"/>
        </w:rPr>
        <w:t>201</w:t>
      </w:r>
      <w:r>
        <w:rPr>
          <w:rFonts w:hint="eastAsia" w:ascii="仿宋" w:hAnsi="仿宋" w:eastAsia="仿宋"/>
          <w:color w:val="000000"/>
          <w:sz w:val="28"/>
          <w:szCs w:val="28"/>
        </w:rPr>
        <w:t>8年相比，一般公共预算财政拨款增加49.71万元，增长19.27</w:t>
      </w:r>
      <w:r>
        <w:rPr>
          <w:rFonts w:ascii="仿宋" w:hAnsi="仿宋" w:eastAsia="仿宋"/>
          <w:color w:val="000000"/>
          <w:sz w:val="28"/>
          <w:szCs w:val="28"/>
        </w:rPr>
        <w:t>%</w:t>
      </w:r>
      <w:r>
        <w:rPr>
          <w:rFonts w:hint="eastAsia" w:ascii="仿宋" w:hAnsi="仿宋" w:eastAsia="仿宋"/>
          <w:color w:val="000000"/>
          <w:sz w:val="28"/>
          <w:szCs w:val="28"/>
        </w:rPr>
        <w:t>。主要变动原因是2019年度购监测设备一批。</w:t>
      </w:r>
      <w:r>
        <w:rPr>
          <w:rFonts w:hint="eastAsia" w:ascii="仿宋" w:hAnsi="仿宋" w:eastAsia="仿宋"/>
          <w:color w:val="000000" w:themeColor="text1"/>
          <w:sz w:val="28"/>
          <w:szCs w:val="28"/>
        </w:rPr>
        <w:t>（图5：一般公共预算财政拨款支出决算变动情况）</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jc w:val="center"/>
      </w:pPr>
      <w:r>
        <w:drawing>
          <wp:inline distT="0" distB="0" distL="0" distR="0">
            <wp:extent cx="3533140" cy="2258060"/>
            <wp:effectExtent l="0" t="0" r="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28"/>
          <w:szCs w:val="28"/>
        </w:rPr>
      </w:pPr>
      <w:r>
        <w:rPr>
          <w:rFonts w:ascii="仿宋" w:hAnsi="仿宋" w:eastAsia="仿宋"/>
          <w:color w:val="000000"/>
          <w:sz w:val="28"/>
          <w:szCs w:val="28"/>
        </w:rPr>
        <w:t>201</w:t>
      </w:r>
      <w:r>
        <w:rPr>
          <w:rFonts w:hint="eastAsia" w:ascii="仿宋" w:hAnsi="仿宋" w:eastAsia="仿宋"/>
          <w:color w:val="000000"/>
          <w:sz w:val="28"/>
          <w:szCs w:val="28"/>
        </w:rPr>
        <w:t>9年一般公共预算财</w:t>
      </w:r>
      <w:r>
        <w:rPr>
          <w:rFonts w:hint="eastAsia" w:ascii="仿宋" w:hAnsi="仿宋" w:eastAsia="仿宋"/>
          <w:color w:val="000000" w:themeColor="text1"/>
          <w:sz w:val="28"/>
          <w:szCs w:val="28"/>
        </w:rPr>
        <w:t>政拨款支出307.71万元，主要用于以下方面</w:t>
      </w:r>
      <w:r>
        <w:rPr>
          <w:rFonts w:ascii="仿宋" w:hAnsi="仿宋" w:eastAsia="仿宋"/>
          <w:color w:val="000000" w:themeColor="text1"/>
          <w:sz w:val="28"/>
          <w:szCs w:val="28"/>
        </w:rPr>
        <w:t>:</w:t>
      </w:r>
      <w:r>
        <w:rPr>
          <w:rFonts w:hint="eastAsia" w:ascii="仿宋" w:hAnsi="仿宋" w:eastAsia="仿宋"/>
          <w:b/>
          <w:color w:val="000000" w:themeColor="text1"/>
          <w:sz w:val="28"/>
          <w:szCs w:val="28"/>
        </w:rPr>
        <w:t>社会保障和就业（类）</w:t>
      </w:r>
      <w:r>
        <w:rPr>
          <w:rFonts w:hint="eastAsia" w:ascii="仿宋" w:hAnsi="仿宋" w:eastAsia="仿宋"/>
          <w:color w:val="000000" w:themeColor="text1"/>
          <w:sz w:val="28"/>
          <w:szCs w:val="28"/>
        </w:rPr>
        <w:t>支出15.56万元，占5.05</w:t>
      </w:r>
      <w:r>
        <w:rPr>
          <w:rFonts w:ascii="仿宋" w:hAnsi="仿宋" w:eastAsia="仿宋"/>
          <w:color w:val="000000" w:themeColor="text1"/>
          <w:sz w:val="28"/>
          <w:szCs w:val="28"/>
        </w:rPr>
        <w:t>%</w:t>
      </w:r>
      <w:r>
        <w:rPr>
          <w:rFonts w:hint="eastAsia" w:ascii="仿宋" w:hAnsi="仿宋" w:eastAsia="仿宋"/>
          <w:color w:val="000000" w:themeColor="text1"/>
          <w:sz w:val="28"/>
          <w:szCs w:val="28"/>
        </w:rPr>
        <w:t>；</w:t>
      </w:r>
      <w:r>
        <w:rPr>
          <w:rFonts w:hint="eastAsia" w:ascii="仿宋" w:hAnsi="仿宋" w:eastAsia="仿宋"/>
          <w:b/>
          <w:bCs/>
          <w:color w:val="000000" w:themeColor="text1"/>
          <w:sz w:val="28"/>
          <w:szCs w:val="28"/>
        </w:rPr>
        <w:t>卫生健康支出</w:t>
      </w:r>
      <w:r>
        <w:rPr>
          <w:rFonts w:hint="eastAsia" w:ascii="仿宋" w:hAnsi="仿宋" w:eastAsia="仿宋"/>
          <w:color w:val="000000" w:themeColor="text1"/>
          <w:sz w:val="28"/>
          <w:szCs w:val="28"/>
        </w:rPr>
        <w:t>9.17万元，占2.98</w:t>
      </w:r>
      <w:r>
        <w:rPr>
          <w:rFonts w:ascii="仿宋" w:hAnsi="仿宋" w:eastAsia="仿宋"/>
          <w:color w:val="000000" w:themeColor="text1"/>
          <w:sz w:val="28"/>
          <w:szCs w:val="28"/>
        </w:rPr>
        <w:t>%</w:t>
      </w:r>
      <w:r>
        <w:rPr>
          <w:rFonts w:hint="eastAsia" w:ascii="仿宋" w:hAnsi="仿宋" w:eastAsia="仿宋"/>
          <w:color w:val="000000" w:themeColor="text1"/>
          <w:sz w:val="28"/>
          <w:szCs w:val="28"/>
        </w:rPr>
        <w:t>；</w:t>
      </w:r>
      <w:r>
        <w:rPr>
          <w:rFonts w:hint="eastAsia" w:ascii="仿宋" w:hAnsi="仿宋" w:eastAsia="仿宋"/>
          <w:b/>
          <w:bCs/>
          <w:color w:val="000000" w:themeColor="text1"/>
          <w:sz w:val="28"/>
          <w:szCs w:val="28"/>
        </w:rPr>
        <w:t>节能环保支出</w:t>
      </w:r>
      <w:r>
        <w:rPr>
          <w:rFonts w:hint="eastAsia" w:ascii="仿宋" w:hAnsi="仿宋" w:eastAsia="仿宋"/>
          <w:color w:val="000000" w:themeColor="text1"/>
          <w:sz w:val="28"/>
          <w:szCs w:val="28"/>
        </w:rPr>
        <w:t>262.16万元，占85.20</w:t>
      </w:r>
      <w:r>
        <w:rPr>
          <w:rFonts w:ascii="仿宋" w:hAnsi="仿宋" w:eastAsia="仿宋"/>
          <w:color w:val="000000" w:themeColor="text1"/>
          <w:sz w:val="28"/>
          <w:szCs w:val="28"/>
        </w:rPr>
        <w:t>%</w:t>
      </w:r>
      <w:r>
        <w:rPr>
          <w:rFonts w:hint="eastAsia" w:ascii="仿宋" w:hAnsi="仿宋" w:eastAsia="仿宋"/>
          <w:color w:val="000000" w:themeColor="text1"/>
          <w:sz w:val="28"/>
          <w:szCs w:val="28"/>
        </w:rPr>
        <w:t>；住房保障支出20.82万元，占6.77</w:t>
      </w:r>
      <w:r>
        <w:rPr>
          <w:rFonts w:ascii="仿宋" w:hAnsi="仿宋" w:eastAsia="仿宋"/>
          <w:color w:val="000000" w:themeColor="text1"/>
          <w:sz w:val="28"/>
          <w:szCs w:val="28"/>
        </w:rPr>
        <w:t>%</w:t>
      </w:r>
      <w:r>
        <w:rPr>
          <w:rFonts w:hint="eastAsia" w:ascii="仿宋" w:hAnsi="仿宋" w:eastAsia="仿宋"/>
          <w:color w:val="000000" w:themeColor="text1"/>
          <w:sz w:val="28"/>
          <w:szCs w:val="28"/>
        </w:rPr>
        <w:t>。</w:t>
      </w:r>
      <w:r>
        <w:rPr>
          <w:rFonts w:hint="eastAsia" w:ascii="仿宋" w:hAnsi="仿宋" w:eastAsia="仿宋"/>
          <w:color w:val="000000"/>
          <w:sz w:val="28"/>
          <w:szCs w:val="28"/>
        </w:rPr>
        <w:t>（图6：一般公共预算财政拨款支出决算结构）</w:t>
      </w:r>
    </w:p>
    <w:p>
      <w:pPr>
        <w:pStyle w:val="30"/>
        <w:jc w:val="center"/>
      </w:pPr>
      <w:r>
        <w:drawing>
          <wp:inline distT="0" distB="0" distL="0" distR="0">
            <wp:extent cx="3131820" cy="2543175"/>
            <wp:effectExtent l="0" t="0" r="0" b="0"/>
            <wp:docPr id="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560" w:firstLineChars="200"/>
        <w:outlineLvl w:val="2"/>
        <w:rPr>
          <w:rFonts w:ascii="仿宋" w:hAnsi="仿宋" w:eastAsia="仿宋"/>
          <w:color w:val="FF0000"/>
          <w:sz w:val="28"/>
          <w:szCs w:val="28"/>
        </w:rPr>
      </w:pPr>
      <w:bookmarkStart w:id="37" w:name="_Toc15377213"/>
      <w:bookmarkStart w:id="38" w:name="_Toc15378460"/>
      <w:bookmarkStart w:id="39" w:name="_Toc15377444"/>
      <w:r>
        <w:rPr>
          <w:rFonts w:hint="eastAsia" w:ascii="仿宋" w:hAnsi="仿宋" w:eastAsia="仿宋"/>
          <w:color w:val="000000" w:themeColor="text1"/>
          <w:sz w:val="28"/>
          <w:szCs w:val="28"/>
        </w:rPr>
        <w:t>2019年一般公共预算支出决算数为307.71，</w:t>
      </w:r>
      <w:r>
        <w:rPr>
          <w:rStyle w:val="14"/>
          <w:rFonts w:hint="eastAsia" w:ascii="仿宋" w:hAnsi="仿宋" w:eastAsia="仿宋"/>
          <w:b w:val="0"/>
          <w:bCs/>
          <w:color w:val="000000" w:themeColor="text1"/>
          <w:sz w:val="28"/>
          <w:szCs w:val="28"/>
        </w:rPr>
        <w:t>完成</w:t>
      </w:r>
      <w:r>
        <w:rPr>
          <w:rStyle w:val="14"/>
          <w:rFonts w:hint="eastAsia" w:ascii="仿宋" w:hAnsi="仿宋" w:eastAsia="仿宋"/>
          <w:b w:val="0"/>
          <w:bCs/>
          <w:color w:val="000000"/>
          <w:sz w:val="28"/>
          <w:szCs w:val="28"/>
        </w:rPr>
        <w:t>预算95.46</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。其中：</w:t>
      </w:r>
      <w:bookmarkEnd w:id="37"/>
      <w:bookmarkEnd w:id="38"/>
      <w:bookmarkEnd w:id="39"/>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1</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社会保障和就业（类）行政事业单位离退休（款）机关事业单位基本养老保险缴费支出（项）</w:t>
      </w:r>
      <w:r>
        <w:rPr>
          <w:rStyle w:val="14"/>
          <w:rFonts w:ascii="仿宋" w:hAnsi="仿宋" w:eastAsia="仿宋"/>
          <w:b w:val="0"/>
          <w:bCs/>
          <w:color w:val="000000"/>
          <w:sz w:val="28"/>
          <w:szCs w:val="28"/>
        </w:rPr>
        <w:t xml:space="preserve">: </w:t>
      </w:r>
      <w:r>
        <w:rPr>
          <w:rStyle w:val="14"/>
          <w:rFonts w:hint="eastAsia" w:ascii="仿宋" w:hAnsi="仿宋" w:eastAsia="仿宋"/>
          <w:b w:val="0"/>
          <w:bCs/>
          <w:color w:val="000000"/>
          <w:sz w:val="28"/>
          <w:szCs w:val="28"/>
        </w:rPr>
        <w:t>支出决算为15.56万元，完成预算100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2</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卫生健康</w:t>
      </w:r>
      <w:r>
        <w:rPr>
          <w:rStyle w:val="14"/>
          <w:rFonts w:hint="eastAsia" w:ascii="仿宋" w:hAnsi="仿宋" w:eastAsia="仿宋"/>
          <w:b w:val="0"/>
          <w:bCs/>
          <w:color w:val="000000"/>
          <w:sz w:val="28"/>
          <w:szCs w:val="28"/>
        </w:rPr>
        <w:t>（类）行政事业单位医疗（款）事业单位医疗（项）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支出决算为8.05万元，完成预算100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3</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卫生健康</w:t>
      </w:r>
      <w:r>
        <w:rPr>
          <w:rStyle w:val="14"/>
          <w:rFonts w:hint="eastAsia" w:ascii="仿宋" w:hAnsi="仿宋" w:eastAsia="仿宋"/>
          <w:b w:val="0"/>
          <w:bCs/>
          <w:color w:val="000000"/>
          <w:sz w:val="28"/>
          <w:szCs w:val="28"/>
        </w:rPr>
        <w:t>（类）行政事业单位医疗（款）公务员医疗补助（项）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支出决算为1.12万元，完成预算100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4</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节能环保</w:t>
      </w:r>
      <w:r>
        <w:rPr>
          <w:rStyle w:val="14"/>
          <w:rFonts w:hint="eastAsia" w:ascii="仿宋" w:hAnsi="仿宋" w:eastAsia="仿宋"/>
          <w:b w:val="0"/>
          <w:bCs/>
          <w:color w:val="000000"/>
          <w:sz w:val="28"/>
          <w:szCs w:val="28"/>
        </w:rPr>
        <w:t>（类）环境保护管理事务（款）其他环境保护管理事务支出（项）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支出决算为160.73万元，完成预算100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5</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节能环保</w:t>
      </w:r>
      <w:r>
        <w:rPr>
          <w:rStyle w:val="14"/>
          <w:rFonts w:hint="eastAsia" w:ascii="仿宋" w:hAnsi="仿宋" w:eastAsia="仿宋"/>
          <w:b w:val="0"/>
          <w:bCs/>
          <w:color w:val="000000"/>
          <w:sz w:val="28"/>
          <w:szCs w:val="28"/>
        </w:rPr>
        <w:t>（类）污染防治（款）其他污染防治支出（项）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支出决算为92.79万元，完成预算86.39</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，决算数小于预算数的主要原因是项目未完工。</w:t>
      </w:r>
    </w:p>
    <w:p>
      <w:pPr>
        <w:spacing w:line="600" w:lineRule="exact"/>
        <w:ind w:firstLine="560" w:firstLineChars="200"/>
        <w:rPr>
          <w:rStyle w:val="14"/>
          <w:rFonts w:ascii="仿宋" w:hAnsi="仿宋" w:eastAsia="仿宋"/>
          <w:b w:val="0"/>
          <w:bCs/>
          <w:color w:val="000000"/>
          <w:sz w:val="28"/>
          <w:szCs w:val="28"/>
        </w:rPr>
      </w:pPr>
      <w:r>
        <w:rPr>
          <w:rStyle w:val="14"/>
          <w:rFonts w:hint="eastAsia" w:ascii="仿宋" w:hAnsi="仿宋" w:eastAsia="仿宋"/>
          <w:b w:val="0"/>
          <w:bCs/>
          <w:color w:val="000000"/>
          <w:sz w:val="28"/>
          <w:szCs w:val="28"/>
        </w:rPr>
        <w:t>6</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节能环保</w:t>
      </w:r>
      <w:r>
        <w:rPr>
          <w:rStyle w:val="14"/>
          <w:rFonts w:hint="eastAsia" w:ascii="仿宋" w:hAnsi="仿宋" w:eastAsia="仿宋"/>
          <w:b w:val="0"/>
          <w:bCs/>
          <w:color w:val="000000"/>
          <w:sz w:val="28"/>
          <w:szCs w:val="28"/>
        </w:rPr>
        <w:t>（类）污染减排（款）生态环境监测与信息（项）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支出决算为8.64万元，完成预算100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spacing w:line="600" w:lineRule="exact"/>
        <w:ind w:firstLine="560" w:firstLineChars="200"/>
        <w:rPr>
          <w:rFonts w:ascii="仿宋" w:hAnsi="仿宋" w:eastAsia="仿宋"/>
          <w:bCs/>
          <w:color w:val="000000"/>
          <w:sz w:val="28"/>
          <w:szCs w:val="28"/>
        </w:rPr>
      </w:pPr>
      <w:r>
        <w:rPr>
          <w:rStyle w:val="14"/>
          <w:rFonts w:hint="eastAsia" w:ascii="仿宋" w:hAnsi="仿宋" w:eastAsia="仿宋"/>
          <w:b w:val="0"/>
          <w:bCs/>
          <w:color w:val="000000"/>
          <w:sz w:val="28"/>
          <w:szCs w:val="28"/>
        </w:rPr>
        <w:t>7</w:t>
      </w:r>
      <w:r>
        <w:rPr>
          <w:rStyle w:val="14"/>
          <w:rFonts w:ascii="仿宋" w:hAnsi="仿宋" w:eastAsia="仿宋"/>
          <w:b w:val="0"/>
          <w:bCs/>
          <w:color w:val="000000"/>
          <w:sz w:val="28"/>
          <w:szCs w:val="28"/>
        </w:rPr>
        <w:t>.</w:t>
      </w:r>
      <w:r>
        <w:rPr>
          <w:rFonts w:hint="eastAsia" w:ascii="仿宋" w:hAnsi="仿宋" w:eastAsia="仿宋"/>
          <w:bCs/>
          <w:color w:val="000000" w:themeColor="text1"/>
          <w:sz w:val="28"/>
          <w:szCs w:val="28"/>
        </w:rPr>
        <w:t>住房保障</w:t>
      </w:r>
      <w:r>
        <w:rPr>
          <w:rStyle w:val="14"/>
          <w:rFonts w:hint="eastAsia" w:ascii="仿宋" w:hAnsi="仿宋" w:eastAsia="仿宋"/>
          <w:b w:val="0"/>
          <w:bCs/>
          <w:color w:val="000000"/>
          <w:sz w:val="28"/>
          <w:szCs w:val="28"/>
        </w:rPr>
        <w:t>（类）住房改革支出（款）住房公积金（项）</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支出决算为20.82万元，完成预算100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9年一般公共预算财政拨款基本支出206.28万元，其中：</w:t>
      </w:r>
    </w:p>
    <w:p>
      <w:pPr>
        <w:spacing w:line="600" w:lineRule="exact"/>
        <w:ind w:firstLine="645"/>
        <w:rPr>
          <w:rFonts w:ascii="仿宋" w:hAnsi="仿宋" w:eastAsia="仿宋"/>
          <w:color w:val="000000"/>
          <w:sz w:val="28"/>
          <w:szCs w:val="28"/>
        </w:rPr>
      </w:pPr>
      <w:r>
        <w:rPr>
          <w:rFonts w:hint="eastAsia" w:ascii="仿宋" w:hAnsi="仿宋" w:eastAsia="仿宋"/>
          <w:color w:val="000000"/>
          <w:sz w:val="28"/>
          <w:szCs w:val="28"/>
        </w:rPr>
        <w:t>人员经费196.72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28"/>
          <w:szCs w:val="28"/>
        </w:rPr>
        <w:br w:type="textWrapping"/>
      </w:r>
      <w:r>
        <w:rPr>
          <w:rFonts w:hint="eastAsia" w:ascii="仿宋" w:hAnsi="仿宋" w:eastAsia="仿宋"/>
          <w:color w:val="000000"/>
          <w:sz w:val="28"/>
          <w:szCs w:val="28"/>
        </w:rPr>
        <w:t xml:space="preserve">    日常公用经费9.56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9年“三公”经费财政拨款支出决算为0.38万元，完成预算100</w:t>
      </w:r>
      <w:r>
        <w:rPr>
          <w:rFonts w:ascii="仿宋" w:hAnsi="仿宋" w:eastAsia="仿宋"/>
          <w:color w:val="000000"/>
          <w:sz w:val="28"/>
          <w:szCs w:val="28"/>
        </w:rPr>
        <w:t>%</w:t>
      </w:r>
      <w:r>
        <w:rPr>
          <w:rFonts w:hint="eastAsia" w:ascii="仿宋" w:hAnsi="仿宋" w:eastAsia="仿宋"/>
          <w:color w:val="000000"/>
          <w:sz w:val="28"/>
          <w:szCs w:val="28"/>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9年“三公”经费财政拨款支出决算中，因公出国（境）费支出决算0万元，占0</w:t>
      </w:r>
      <w:r>
        <w:rPr>
          <w:rFonts w:ascii="仿宋" w:hAnsi="仿宋" w:eastAsia="仿宋"/>
          <w:color w:val="000000"/>
          <w:sz w:val="28"/>
          <w:szCs w:val="28"/>
        </w:rPr>
        <w:t>%</w:t>
      </w:r>
      <w:r>
        <w:rPr>
          <w:rFonts w:hint="eastAsia" w:ascii="仿宋" w:hAnsi="仿宋" w:eastAsia="仿宋"/>
          <w:color w:val="000000"/>
          <w:sz w:val="28"/>
          <w:szCs w:val="28"/>
        </w:rPr>
        <w:t>；公务用车购置及运行维护费支出决算0万元，占0</w:t>
      </w:r>
      <w:r>
        <w:rPr>
          <w:rFonts w:ascii="仿宋" w:hAnsi="仿宋" w:eastAsia="仿宋"/>
          <w:color w:val="000000"/>
          <w:sz w:val="28"/>
          <w:szCs w:val="28"/>
        </w:rPr>
        <w:t>%</w:t>
      </w:r>
      <w:r>
        <w:rPr>
          <w:rFonts w:hint="eastAsia" w:ascii="仿宋" w:hAnsi="仿宋" w:eastAsia="仿宋"/>
          <w:color w:val="000000"/>
          <w:sz w:val="28"/>
          <w:szCs w:val="28"/>
        </w:rPr>
        <w:t>；公务接待费支出决算0.38万元，占100</w:t>
      </w:r>
      <w:r>
        <w:rPr>
          <w:rFonts w:ascii="仿宋" w:hAnsi="仿宋" w:eastAsia="仿宋"/>
          <w:color w:val="000000"/>
          <w:sz w:val="28"/>
          <w:szCs w:val="28"/>
        </w:rPr>
        <w:t>%</w:t>
      </w:r>
      <w:r>
        <w:rPr>
          <w:rFonts w:hint="eastAsia" w:ascii="仿宋" w:hAnsi="仿宋" w:eastAsia="仿宋"/>
          <w:color w:val="000000"/>
          <w:sz w:val="28"/>
          <w:szCs w:val="28"/>
        </w:rPr>
        <w:t>。具体情况如下：</w:t>
      </w:r>
    </w:p>
    <w:p>
      <w:pPr>
        <w:spacing w:line="600" w:lineRule="exact"/>
        <w:ind w:firstLine="640"/>
        <w:rPr>
          <w:rFonts w:ascii="仿宋" w:hAnsi="仿宋" w:eastAsia="仿宋"/>
          <w:color w:val="000000"/>
          <w:sz w:val="28"/>
          <w:szCs w:val="28"/>
        </w:rPr>
      </w:pPr>
      <w:r>
        <w:rPr>
          <w:rFonts w:hint="eastAsia" w:ascii="仿宋" w:hAnsi="仿宋" w:eastAsia="仿宋"/>
          <w:color w:val="000000"/>
          <w:sz w:val="28"/>
          <w:szCs w:val="28"/>
        </w:rPr>
        <w:t>（图7：“三公”经费财政拨款支出结构）（饼状图）</w:t>
      </w:r>
    </w:p>
    <w:p>
      <w:pPr>
        <w:pStyle w:val="30"/>
        <w:jc w:val="center"/>
      </w:pPr>
      <w:r>
        <w:drawing>
          <wp:inline distT="0" distB="0" distL="0" distR="0">
            <wp:extent cx="2973705" cy="2051050"/>
            <wp:effectExtent l="0" t="0" r="0" b="0"/>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因公出国（境）经费支出0万元</w:t>
      </w:r>
      <w:r>
        <w:rPr>
          <w:rStyle w:val="14"/>
          <w:rFonts w:hint="eastAsia" w:ascii="仿宋" w:hAnsi="仿宋" w:eastAsia="仿宋"/>
          <w:bCs/>
          <w:color w:val="000000"/>
          <w:sz w:val="28"/>
          <w:szCs w:val="28"/>
        </w:rPr>
        <w:t>。</w:t>
      </w:r>
      <w:r>
        <w:rPr>
          <w:rFonts w:hint="eastAsia" w:ascii="仿宋" w:hAnsi="仿宋" w:eastAsia="仿宋"/>
          <w:color w:val="000000"/>
          <w:sz w:val="28"/>
          <w:szCs w:val="28"/>
        </w:rPr>
        <w:t>全年安排因公出国（境）团组0次，出国（境）0人。与</w:t>
      </w:r>
      <w:r>
        <w:rPr>
          <w:rFonts w:ascii="仿宋" w:hAnsi="仿宋" w:eastAsia="仿宋"/>
          <w:color w:val="000000"/>
          <w:sz w:val="28"/>
          <w:szCs w:val="28"/>
        </w:rPr>
        <w:t>201</w:t>
      </w:r>
      <w:r>
        <w:rPr>
          <w:rFonts w:hint="eastAsia" w:ascii="仿宋" w:hAnsi="仿宋" w:eastAsia="仿宋"/>
          <w:color w:val="000000"/>
          <w:sz w:val="28"/>
          <w:szCs w:val="28"/>
        </w:rPr>
        <w:t>8年度持平。</w:t>
      </w:r>
    </w:p>
    <w:p>
      <w:pPr>
        <w:spacing w:line="600" w:lineRule="exact"/>
        <w:ind w:firstLine="64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公务用车购置及运行维护费支出0万元</w:t>
      </w:r>
      <w:r>
        <w:rPr>
          <w:rStyle w:val="14"/>
          <w:rFonts w:hint="eastAsia" w:ascii="仿宋" w:hAnsi="仿宋" w:eastAsia="仿宋"/>
          <w:bCs/>
          <w:color w:val="000000"/>
          <w:sz w:val="28"/>
          <w:szCs w:val="28"/>
        </w:rPr>
        <w:t>。</w:t>
      </w:r>
      <w:r>
        <w:rPr>
          <w:rFonts w:hint="eastAsia" w:ascii="仿宋" w:hAnsi="仿宋" w:eastAsia="仿宋"/>
          <w:color w:val="000000"/>
          <w:sz w:val="28"/>
          <w:szCs w:val="28"/>
        </w:rPr>
        <w:t>与2018年度持平。</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其中：公务用车购置支出0万元。全年按规定更新购置公务用车0辆，金额0</w:t>
      </w:r>
      <w:r>
        <w:rPr>
          <w:rFonts w:ascii="仿宋" w:hAnsi="仿宋" w:eastAsia="仿宋"/>
          <w:color w:val="000000"/>
          <w:sz w:val="28"/>
          <w:szCs w:val="28"/>
        </w:rPr>
        <w:t>元。</w:t>
      </w:r>
      <w:r>
        <w:rPr>
          <w:rFonts w:hint="eastAsia" w:ascii="仿宋" w:hAnsi="仿宋" w:eastAsia="仿宋"/>
          <w:color w:val="000000"/>
          <w:sz w:val="28"/>
          <w:szCs w:val="28"/>
        </w:rPr>
        <w:t>截至</w:t>
      </w:r>
      <w:r>
        <w:rPr>
          <w:rFonts w:ascii="仿宋" w:hAnsi="仿宋" w:eastAsia="仿宋"/>
          <w:color w:val="000000"/>
          <w:sz w:val="28"/>
          <w:szCs w:val="28"/>
        </w:rPr>
        <w:t>201</w:t>
      </w:r>
      <w:r>
        <w:rPr>
          <w:rFonts w:hint="eastAsia" w:ascii="仿宋" w:hAnsi="仿宋" w:eastAsia="仿宋"/>
          <w:color w:val="000000"/>
          <w:sz w:val="28"/>
          <w:szCs w:val="28"/>
        </w:rPr>
        <w:t>9年</w:t>
      </w:r>
      <w:r>
        <w:rPr>
          <w:rFonts w:ascii="仿宋" w:hAnsi="仿宋" w:eastAsia="仿宋"/>
          <w:color w:val="000000"/>
          <w:sz w:val="28"/>
          <w:szCs w:val="28"/>
        </w:rPr>
        <w:t>12</w:t>
      </w:r>
      <w:r>
        <w:rPr>
          <w:rFonts w:hint="eastAsia" w:ascii="仿宋" w:hAnsi="仿宋" w:eastAsia="仿宋"/>
          <w:color w:val="000000"/>
          <w:sz w:val="28"/>
          <w:szCs w:val="28"/>
        </w:rPr>
        <w:t>月底，单位共有公务用车0辆。公务用车运行维护费支出0万元。</w:t>
      </w:r>
    </w:p>
    <w:p>
      <w:pPr>
        <w:spacing w:line="600" w:lineRule="exact"/>
        <w:ind w:firstLine="64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公务接待费支出0.38万元，</w:t>
      </w:r>
      <w:r>
        <w:rPr>
          <w:rStyle w:val="14"/>
          <w:rFonts w:hint="eastAsia" w:ascii="仿宋" w:hAnsi="仿宋" w:eastAsia="仿宋"/>
          <w:b w:val="0"/>
          <w:bCs/>
          <w:color w:val="000000"/>
          <w:sz w:val="28"/>
          <w:szCs w:val="28"/>
        </w:rPr>
        <w:t>完成预算100</w:t>
      </w:r>
      <w:r>
        <w:rPr>
          <w:rStyle w:val="14"/>
          <w:rFonts w:ascii="仿宋" w:hAnsi="仿宋" w:eastAsia="仿宋"/>
          <w:b w:val="0"/>
          <w:bCs/>
          <w:color w:val="000000"/>
          <w:sz w:val="28"/>
          <w:szCs w:val="28"/>
        </w:rPr>
        <w:t>%</w:t>
      </w:r>
      <w:r>
        <w:rPr>
          <w:rStyle w:val="14"/>
          <w:rFonts w:hint="eastAsia" w:ascii="仿宋" w:hAnsi="仿宋" w:eastAsia="仿宋"/>
          <w:b w:val="0"/>
          <w:bCs/>
          <w:color w:val="000000"/>
          <w:sz w:val="28"/>
          <w:szCs w:val="28"/>
        </w:rPr>
        <w:t>。</w:t>
      </w:r>
      <w:r>
        <w:rPr>
          <w:rFonts w:hint="eastAsia" w:ascii="仿宋" w:hAnsi="仿宋" w:eastAsia="仿宋"/>
          <w:color w:val="000000"/>
          <w:sz w:val="28"/>
          <w:szCs w:val="28"/>
        </w:rPr>
        <w:t>公务接待费支出决算比</w:t>
      </w:r>
      <w:r>
        <w:rPr>
          <w:rFonts w:ascii="仿宋" w:hAnsi="仿宋" w:eastAsia="仿宋"/>
          <w:color w:val="000000"/>
          <w:sz w:val="28"/>
          <w:szCs w:val="28"/>
        </w:rPr>
        <w:t>201</w:t>
      </w:r>
      <w:r>
        <w:rPr>
          <w:rFonts w:hint="eastAsia" w:ascii="仿宋" w:hAnsi="仿宋" w:eastAsia="仿宋"/>
          <w:color w:val="000000"/>
          <w:sz w:val="28"/>
          <w:szCs w:val="28"/>
        </w:rPr>
        <w:t>8年增加0.36万元，增长1800</w:t>
      </w:r>
      <w:r>
        <w:rPr>
          <w:rFonts w:ascii="仿宋" w:hAnsi="仿宋" w:eastAsia="仿宋"/>
          <w:color w:val="000000"/>
          <w:sz w:val="28"/>
          <w:szCs w:val="28"/>
        </w:rPr>
        <w:t>%</w:t>
      </w:r>
      <w:r>
        <w:rPr>
          <w:rFonts w:hint="eastAsia" w:ascii="仿宋" w:hAnsi="仿宋" w:eastAsia="仿宋"/>
          <w:color w:val="000000"/>
          <w:sz w:val="28"/>
          <w:szCs w:val="28"/>
        </w:rPr>
        <w:t>。主要原因是2019年度接待监测人员上岗考试及监测业务检查。其中：</w:t>
      </w:r>
    </w:p>
    <w:p>
      <w:pPr>
        <w:ind w:firstLine="548" w:firstLineChars="196"/>
        <w:rPr>
          <w:rFonts w:ascii="仿宋" w:hAnsi="仿宋" w:eastAsia="仿宋" w:cs="宋体"/>
          <w:kern w:val="0"/>
          <w:sz w:val="28"/>
          <w:szCs w:val="28"/>
        </w:rPr>
      </w:pPr>
      <w:r>
        <w:rPr>
          <w:rFonts w:hint="eastAsia" w:ascii="仿宋" w:hAnsi="仿宋" w:eastAsia="仿宋"/>
          <w:color w:val="000000"/>
          <w:sz w:val="28"/>
          <w:szCs w:val="28"/>
        </w:rPr>
        <w:t>国内公务接待支出0.38万元，主要用于执行公务、开展业务活动开支的用餐费。国内公务接待4批次，31人次（不包括陪同人员），共计支出0.38万元，具体内容包括：开展监督性监测、监测人员持证上岗考核及专项工作检查等工作用餐接待。</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外事接待支出0万元</w:t>
      </w:r>
      <w:r>
        <w:rPr>
          <w:rFonts w:hint="eastAsia" w:ascii="仿宋" w:hAnsi="仿宋" w:eastAsia="仿宋"/>
          <w:color w:val="000000" w:themeColor="text1"/>
          <w:sz w:val="28"/>
          <w:szCs w:val="28"/>
        </w:rPr>
        <w:t>，外事接待0批次，0人，共计支出0万元</w:t>
      </w:r>
      <w:bookmarkStart w:id="46" w:name="_Toc15396610"/>
      <w:bookmarkStart w:id="47" w:name="_Toc15377218"/>
      <w:r>
        <w:rPr>
          <w:rFonts w:hint="eastAsia" w:ascii="仿宋" w:hAnsi="仿宋" w:eastAsia="仿宋"/>
          <w:color w:val="000000" w:themeColor="text1"/>
          <w:sz w:val="28"/>
          <w:szCs w:val="28"/>
        </w:rPr>
        <w:t>。</w:t>
      </w:r>
      <w:r>
        <w:rPr>
          <w:rFonts w:ascii="仿宋" w:hAnsi="仿宋" w:eastAsia="仿宋"/>
          <w:color w:val="000000"/>
          <w:sz w:val="28"/>
          <w:szCs w:val="28"/>
        </w:rPr>
        <w:t xml:space="preserve"> </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9年政府性基金预算拨款支出0万元。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9年国有资本经营预算拨款支出0万元。</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autoSpaceDE w:val="0"/>
        <w:autoSpaceDN w:val="0"/>
        <w:adjustRightInd w:val="0"/>
        <w:spacing w:line="600" w:lineRule="exact"/>
        <w:ind w:firstLine="562" w:firstLineChars="200"/>
        <w:jc w:val="left"/>
        <w:outlineLvl w:val="2"/>
        <w:rPr>
          <w:rFonts w:ascii="仿宋" w:hAnsi="仿宋" w:eastAsia="仿宋"/>
          <w:b/>
          <w:color w:val="000000"/>
          <w:sz w:val="28"/>
          <w:szCs w:val="28"/>
        </w:rPr>
      </w:pPr>
      <w:bookmarkStart w:id="52" w:name="_Toc15377223"/>
      <w:r>
        <w:rPr>
          <w:rFonts w:hint="eastAsia" w:ascii="仿宋" w:hAnsi="仿宋" w:eastAsia="仿宋"/>
          <w:b/>
          <w:color w:val="000000"/>
          <w:sz w:val="28"/>
          <w:szCs w:val="28"/>
        </w:rPr>
        <w:t>（一）政府采购支出情况</w:t>
      </w:r>
      <w:bookmarkEnd w:id="52"/>
    </w:p>
    <w:p>
      <w:pPr>
        <w:spacing w:line="600" w:lineRule="exact"/>
        <w:ind w:firstLine="560" w:firstLineChars="200"/>
        <w:rPr>
          <w:rFonts w:ascii="仿宋" w:hAnsi="仿宋" w:eastAsia="仿宋"/>
          <w:color w:val="000000"/>
          <w:sz w:val="28"/>
          <w:szCs w:val="28"/>
        </w:rPr>
      </w:pPr>
      <w:r>
        <w:rPr>
          <w:rFonts w:ascii="仿宋" w:hAnsi="仿宋" w:eastAsia="仿宋"/>
          <w:color w:val="000000"/>
          <w:sz w:val="28"/>
          <w:szCs w:val="28"/>
        </w:rPr>
        <w:t>201</w:t>
      </w:r>
      <w:r>
        <w:rPr>
          <w:rFonts w:hint="eastAsia" w:ascii="仿宋" w:hAnsi="仿宋" w:eastAsia="仿宋"/>
          <w:color w:val="000000"/>
          <w:sz w:val="28"/>
          <w:szCs w:val="28"/>
        </w:rPr>
        <w:t>9年度仁和区环境监测站政府采购支出总额0万元，</w:t>
      </w:r>
      <w:r>
        <w:rPr>
          <w:rFonts w:ascii="仿宋" w:hAnsi="仿宋" w:eastAsia="仿宋"/>
          <w:color w:val="000000"/>
          <w:sz w:val="28"/>
          <w:szCs w:val="28"/>
        </w:rPr>
        <w:t xml:space="preserve"> </w:t>
      </w:r>
    </w:p>
    <w:p>
      <w:pPr>
        <w:autoSpaceDE w:val="0"/>
        <w:autoSpaceDN w:val="0"/>
        <w:adjustRightInd w:val="0"/>
        <w:spacing w:line="600" w:lineRule="exact"/>
        <w:ind w:firstLine="562" w:firstLineChars="200"/>
        <w:jc w:val="left"/>
        <w:outlineLvl w:val="2"/>
        <w:rPr>
          <w:rFonts w:ascii="仿宋" w:hAnsi="仿宋" w:eastAsia="仿宋"/>
          <w:b/>
          <w:color w:val="000000"/>
          <w:sz w:val="28"/>
          <w:szCs w:val="28"/>
        </w:rPr>
      </w:pPr>
      <w:bookmarkStart w:id="53" w:name="_Toc15377224"/>
      <w:r>
        <w:rPr>
          <w:rFonts w:hint="eastAsia" w:ascii="仿宋" w:hAnsi="仿宋" w:eastAsia="仿宋"/>
          <w:b/>
          <w:color w:val="000000"/>
          <w:sz w:val="28"/>
          <w:szCs w:val="28"/>
        </w:rPr>
        <w:t>（二）国有资产占有使用情况</w:t>
      </w:r>
      <w:bookmarkEnd w:id="53"/>
    </w:p>
    <w:p>
      <w:pPr>
        <w:autoSpaceDE w:val="0"/>
        <w:autoSpaceDN w:val="0"/>
        <w:adjustRightInd w:val="0"/>
        <w:spacing w:line="600" w:lineRule="exact"/>
        <w:ind w:firstLine="560" w:firstLineChars="200"/>
        <w:jc w:val="left"/>
        <w:rPr>
          <w:rFonts w:ascii="仿宋" w:hAnsi="仿宋" w:eastAsia="仿宋"/>
          <w:b/>
          <w:color w:val="FF0000"/>
          <w:sz w:val="28"/>
          <w:szCs w:val="28"/>
        </w:rPr>
      </w:pPr>
      <w:r>
        <w:rPr>
          <w:rFonts w:hint="eastAsia" w:ascii="仿宋" w:hAnsi="仿宋" w:eastAsia="仿宋"/>
          <w:color w:val="000000"/>
          <w:sz w:val="28"/>
          <w:szCs w:val="28"/>
        </w:rPr>
        <w:t>截至</w:t>
      </w:r>
      <w:r>
        <w:rPr>
          <w:rFonts w:ascii="仿宋" w:hAnsi="仿宋" w:eastAsia="仿宋"/>
          <w:color w:val="000000"/>
          <w:sz w:val="28"/>
          <w:szCs w:val="28"/>
        </w:rPr>
        <w:t>201</w:t>
      </w:r>
      <w:r>
        <w:rPr>
          <w:rFonts w:hint="eastAsia" w:ascii="仿宋" w:hAnsi="仿宋" w:eastAsia="仿宋"/>
          <w:color w:val="000000"/>
          <w:sz w:val="28"/>
          <w:szCs w:val="28"/>
        </w:rPr>
        <w:t>9年</w:t>
      </w:r>
      <w:r>
        <w:rPr>
          <w:rFonts w:ascii="仿宋" w:hAnsi="仿宋" w:eastAsia="仿宋"/>
          <w:color w:val="000000"/>
          <w:sz w:val="28"/>
          <w:szCs w:val="28"/>
        </w:rPr>
        <w:t>12</w:t>
      </w:r>
      <w:r>
        <w:rPr>
          <w:rFonts w:hint="eastAsia" w:ascii="仿宋" w:hAnsi="仿宋" w:eastAsia="仿宋"/>
          <w:color w:val="000000"/>
          <w:sz w:val="28"/>
          <w:szCs w:val="28"/>
        </w:rPr>
        <w:t>月</w:t>
      </w:r>
      <w:r>
        <w:rPr>
          <w:rFonts w:ascii="仿宋" w:hAnsi="仿宋" w:eastAsia="仿宋"/>
          <w:color w:val="000000"/>
          <w:sz w:val="28"/>
          <w:szCs w:val="28"/>
        </w:rPr>
        <w:t>31</w:t>
      </w:r>
      <w:r>
        <w:rPr>
          <w:rFonts w:hint="eastAsia" w:ascii="仿宋" w:hAnsi="仿宋" w:eastAsia="仿宋"/>
          <w:color w:val="000000"/>
          <w:sz w:val="28"/>
          <w:szCs w:val="28"/>
        </w:rPr>
        <w:t>日，仁和区环境监测站共有车辆0辆，</w:t>
      </w:r>
      <w:r>
        <w:rPr>
          <w:rFonts w:hint="eastAsia" w:ascii="仿宋" w:hAnsi="仿宋" w:eastAsia="仿宋"/>
          <w:color w:val="000000" w:themeColor="text1"/>
          <w:sz w:val="28"/>
          <w:szCs w:val="28"/>
        </w:rPr>
        <w:t>单价</w:t>
      </w:r>
      <w:r>
        <w:rPr>
          <w:rFonts w:ascii="仿宋" w:hAnsi="仿宋" w:eastAsia="仿宋"/>
          <w:color w:val="000000" w:themeColor="text1"/>
          <w:sz w:val="28"/>
          <w:szCs w:val="28"/>
        </w:rPr>
        <w:t>50</w:t>
      </w:r>
      <w:r>
        <w:rPr>
          <w:rFonts w:hint="eastAsia" w:ascii="仿宋" w:hAnsi="仿宋" w:eastAsia="仿宋"/>
          <w:color w:val="000000" w:themeColor="text1"/>
          <w:sz w:val="28"/>
          <w:szCs w:val="28"/>
        </w:rPr>
        <w:t>万元以上通用设备0台（套），单价</w:t>
      </w:r>
      <w:r>
        <w:rPr>
          <w:rFonts w:ascii="仿宋" w:hAnsi="仿宋" w:eastAsia="仿宋"/>
          <w:color w:val="000000" w:themeColor="text1"/>
          <w:sz w:val="28"/>
          <w:szCs w:val="28"/>
        </w:rPr>
        <w:t>100</w:t>
      </w:r>
      <w:r>
        <w:rPr>
          <w:rFonts w:hint="eastAsia" w:ascii="仿宋" w:hAnsi="仿宋" w:eastAsia="仿宋"/>
          <w:color w:val="000000"/>
          <w:sz w:val="28"/>
          <w:szCs w:val="28"/>
        </w:rPr>
        <w:t>万元以上专用设备0台（套）。</w:t>
      </w:r>
    </w:p>
    <w:p>
      <w:pPr>
        <w:autoSpaceDE w:val="0"/>
        <w:autoSpaceDN w:val="0"/>
        <w:adjustRightInd w:val="0"/>
        <w:spacing w:line="600" w:lineRule="exact"/>
        <w:ind w:firstLine="562" w:firstLineChars="200"/>
        <w:jc w:val="left"/>
        <w:outlineLvl w:val="2"/>
        <w:rPr>
          <w:rFonts w:ascii="仿宋" w:hAnsi="仿宋" w:eastAsia="仿宋"/>
          <w:b/>
          <w:color w:val="000000"/>
          <w:sz w:val="28"/>
          <w:szCs w:val="28"/>
        </w:rPr>
      </w:pPr>
      <w:r>
        <w:rPr>
          <w:rFonts w:hint="eastAsia" w:ascii="仿宋" w:hAnsi="仿宋" w:eastAsia="仿宋"/>
          <w:b/>
          <w:color w:val="000000"/>
          <w:sz w:val="28"/>
          <w:szCs w:val="28"/>
        </w:rPr>
        <w:t>（三）预算绩效管理情况。</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根据预算绩效管理要求，本部门（单位）在年初预算编制阶段，无项目预算开支。</w:t>
      </w:r>
    </w:p>
    <w:p>
      <w:pPr>
        <w:autoSpaceDE w:val="0"/>
        <w:autoSpaceDN w:val="0"/>
        <w:adjustRightInd w:val="0"/>
        <w:spacing w:line="600" w:lineRule="exact"/>
        <w:ind w:firstLine="560" w:firstLineChars="200"/>
        <w:jc w:val="left"/>
        <w:outlineLvl w:val="2"/>
        <w:rPr>
          <w:rFonts w:ascii="仿宋_GB2312" w:hAnsi="仿宋_GB2312" w:eastAsia="仿宋_GB2312" w:cs="仿宋_GB2312"/>
          <w:sz w:val="32"/>
          <w:szCs w:val="32"/>
        </w:rPr>
      </w:pPr>
      <w:r>
        <w:rPr>
          <w:rFonts w:hint="eastAsia" w:ascii="仿宋" w:hAnsi="仿宋" w:eastAsia="仿宋" w:cs="仿宋_GB2312"/>
          <w:sz w:val="28"/>
          <w:szCs w:val="28"/>
        </w:rPr>
        <w:t>本部门按要求对2019年部门整体支出开展绩效自评，从评价情况来看</w:t>
      </w:r>
      <w:r>
        <w:rPr>
          <w:rFonts w:hint="eastAsia" w:ascii="仿宋" w:hAnsi="仿宋" w:eastAsia="仿宋"/>
          <w:sz w:val="28"/>
          <w:szCs w:val="28"/>
        </w:rPr>
        <w:t>我站</w:t>
      </w:r>
      <w:r>
        <w:rPr>
          <w:rFonts w:ascii="仿宋" w:hAnsi="仿宋" w:eastAsia="仿宋"/>
          <w:sz w:val="28"/>
          <w:szCs w:val="28"/>
        </w:rPr>
        <w:t>201</w:t>
      </w:r>
      <w:r>
        <w:rPr>
          <w:rFonts w:hint="eastAsia" w:ascii="仿宋" w:hAnsi="仿宋" w:eastAsia="仿宋"/>
          <w:sz w:val="28"/>
          <w:szCs w:val="28"/>
        </w:rPr>
        <w:t>9年部门整体支出情况良好，预算、执行、收支、资产管理及信息公开都严格按相关制度要求进行，全年收支平衡，有效保证了机构运转，圆满完成了上级下达的目标任务，取得了较大的社会效益</w:t>
      </w:r>
      <w:r>
        <w:rPr>
          <w:rFonts w:hint="eastAsia" w:ascii="仿宋" w:hAnsi="仿宋" w:eastAsia="仿宋" w:cs="仿宋_GB2312"/>
          <w:sz w:val="28"/>
          <w:szCs w:val="28"/>
        </w:rPr>
        <w:t>。本部门无专项预算项目，未组织开展项目支出绩效评价。</w:t>
      </w:r>
    </w:p>
    <w:p>
      <w:pPr>
        <w:spacing w:line="580" w:lineRule="exact"/>
        <w:ind w:firstLine="560" w:firstLineChars="200"/>
        <w:rPr>
          <w:rFonts w:ascii="仿宋" w:hAnsi="仿宋" w:eastAsia="仿宋" w:cs="仿宋_GB2312"/>
          <w:sz w:val="28"/>
          <w:szCs w:val="28"/>
        </w:rPr>
      </w:pPr>
      <w:r>
        <w:rPr>
          <w:rFonts w:hint="eastAsia" w:ascii="仿宋" w:hAnsi="仿宋" w:eastAsia="仿宋" w:cs="楷体_GB2312"/>
          <w:sz w:val="28"/>
          <w:szCs w:val="28"/>
        </w:rPr>
        <w:t>1.项目绩效目标完成情况。</w:t>
      </w:r>
      <w:r>
        <w:rPr>
          <w:rFonts w:hint="eastAsia" w:ascii="仿宋" w:hAnsi="仿宋" w:eastAsia="仿宋" w:cs="楷体_GB2312"/>
          <w:sz w:val="28"/>
          <w:szCs w:val="28"/>
        </w:rPr>
        <w:br w:type="textWrapping"/>
      </w:r>
      <w:r>
        <w:rPr>
          <w:rFonts w:hint="eastAsia" w:ascii="仿宋" w:hAnsi="仿宋" w:eastAsia="仿宋" w:cs="仿宋_GB2312"/>
          <w:sz w:val="28"/>
          <w:szCs w:val="28"/>
        </w:rPr>
        <w:t xml:space="preserve">    本部门在2019年度部门决算中反映“省控环境监测例行监测、大气环境质量设备采购、环境监测运行、环保监管能力建设与设施运维保障、监测监管运维经费等5个项目绩效目标实际完成情况。</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省控环境监测例行监测项目绩效目标完成情况综述。项目全年预算数10.87万元，执行数为10.87万元，完成预算的100%。通过项目实施，保障完成1个县级饮用水点位、4个乡镇饮用水点位监测及其它相关省控监测任务。</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大气环境质量设备采购经费项目绩效目标完成情况综述。项目全年预算数44.50万元，执行数为44.50万元，完成预算的100%。通过项目实施，新增汽油车尾气检测仪、柴油车尾气检测仪和废气监测设备，开展货运车辆尾气检测362台次和各类废气监督性监测、比对监测7次，为推动全年环境空气质量管控目标顺利完成提供了技术支撑。</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环境监测运行经费项目绩效目标完成情况综述。项目全年预算数35.97万元，执行数为35.97万元，完成预算的100%。通过项目实施，环境监测业务及办公场所得到保障，市、区生态环境局下达的年度监测任务顺利推进，为环境管理提供有效技术和数据支撑。</w:t>
      </w:r>
    </w:p>
    <w:p>
      <w:pPr>
        <w:spacing w:line="580" w:lineRule="exact"/>
        <w:ind w:firstLine="560" w:firstLineChars="200"/>
        <w:rPr>
          <w:rFonts w:ascii="仿宋" w:hAnsi="仿宋" w:eastAsia="仿宋" w:cs="仿宋_GB2312"/>
          <w:color w:val="FF0000"/>
          <w:sz w:val="28"/>
          <w:szCs w:val="28"/>
        </w:rPr>
      </w:pPr>
      <w:r>
        <w:rPr>
          <w:rFonts w:hint="eastAsia" w:ascii="仿宋" w:hAnsi="仿宋" w:eastAsia="仿宋" w:cs="仿宋_GB2312"/>
          <w:sz w:val="28"/>
          <w:szCs w:val="28"/>
        </w:rPr>
        <w:t>（4）监测监管运维经费项目绩效目标完成情况综述。项目全年预算数16万元，执行数为1.46万元，完成预算的9.13%。因该项目资金下半年下达，项目内容在2019年完成但资金未支付。</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环保监管能力建设与设施运维保障项目绩效目标完成情况综述。项目全年预算数8.64万元，执行数为8.64万元，完成预算的100%。通过项目实施，环境监测仪器设备得到有效维护，能够按照相关要求及时开展仪器设备检定校准，保障环境监测质量可靠。</w:t>
      </w:r>
    </w:p>
    <w:p>
      <w:pPr>
        <w:spacing w:line="580" w:lineRule="exact"/>
        <w:ind w:left="630"/>
        <w:rPr>
          <w:rFonts w:ascii="仿宋" w:hAnsi="仿宋" w:eastAsia="仿宋" w:cs="仿宋_GB2312"/>
          <w:sz w:val="28"/>
          <w:szCs w:val="28"/>
        </w:rPr>
      </w:pPr>
      <w:r>
        <w:rPr>
          <w:rFonts w:hint="eastAsia" w:ascii="仿宋" w:hAnsi="仿宋" w:eastAsia="仿宋" w:cs="楷体_GB2312"/>
          <w:sz w:val="28"/>
          <w:szCs w:val="28"/>
        </w:rPr>
        <w:t>2.部门绩效评价结果。</w:t>
      </w:r>
    </w:p>
    <w:p>
      <w:pPr>
        <w:spacing w:line="5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本部门按要求对2019年部门整体支出绩效评价情况开展自评，《仁和区环境监测站2019年部门整体支出绩效评价报告》见附件（附件1）。本部门无组织开展项目绩效评价。</w:t>
      </w:r>
    </w:p>
    <w:p>
      <w:pPr>
        <w:numPr>
          <w:ilvl w:val="0"/>
          <w:numId w:val="3"/>
        </w:numPr>
        <w:spacing w:line="600" w:lineRule="exact"/>
        <w:ind w:firstLine="660" w:firstLineChars="150"/>
        <w:jc w:val="center"/>
        <w:outlineLvl w:val="0"/>
        <w:rPr>
          <w:rStyle w:val="24"/>
          <w:rFonts w:ascii="黑体" w:hAnsi="黑体" w:eastAsia="黑体"/>
          <w:b w:val="0"/>
        </w:rPr>
      </w:pPr>
      <w:bookmarkStart w:id="54" w:name="_Toc15396613"/>
      <w:bookmarkStart w:id="55"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2"/>
        <w:spacing w:line="560" w:lineRule="exact"/>
        <w:ind w:firstLine="560" w:firstLineChars="200"/>
        <w:rPr>
          <w:rFonts w:hAnsi="仿宋"/>
          <w:sz w:val="28"/>
          <w:szCs w:val="28"/>
        </w:rPr>
      </w:pPr>
      <w:r>
        <w:rPr>
          <w:rFonts w:hAnsi="仿宋"/>
          <w:sz w:val="28"/>
          <w:szCs w:val="28"/>
        </w:rPr>
        <w:t>1.</w:t>
      </w:r>
      <w:r>
        <w:rPr>
          <w:rFonts w:hint="eastAsia" w:hAnsi="仿宋"/>
          <w:sz w:val="28"/>
          <w:szCs w:val="28"/>
        </w:rPr>
        <w:t>财政拨款收入：指单位从同级财政部门取得的财政预算资金。</w:t>
      </w:r>
    </w:p>
    <w:p>
      <w:pPr>
        <w:pStyle w:val="22"/>
        <w:spacing w:line="560" w:lineRule="exact"/>
        <w:ind w:firstLine="560" w:firstLineChars="200"/>
        <w:rPr>
          <w:rFonts w:hAnsi="仿宋"/>
          <w:sz w:val="28"/>
          <w:szCs w:val="28"/>
        </w:rPr>
      </w:pPr>
      <w:r>
        <w:rPr>
          <w:rFonts w:hint="eastAsia" w:hAnsi="仿宋"/>
          <w:sz w:val="28"/>
          <w:szCs w:val="28"/>
          <w:lang w:val="en-US" w:eastAsia="zh-CN"/>
        </w:rPr>
        <w:t>2</w:t>
      </w:r>
      <w:r>
        <w:rPr>
          <w:rFonts w:hAnsi="仿宋"/>
          <w:sz w:val="28"/>
          <w:szCs w:val="28"/>
        </w:rPr>
        <w:t>.</w:t>
      </w:r>
      <w:r>
        <w:rPr>
          <w:rFonts w:hint="eastAsia" w:hAnsi="仿宋"/>
          <w:sz w:val="28"/>
          <w:szCs w:val="28"/>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Ansi="仿宋"/>
          <w:sz w:val="28"/>
          <w:szCs w:val="28"/>
        </w:rPr>
        <w:t xml:space="preserve"> </w:t>
      </w:r>
    </w:p>
    <w:p>
      <w:pPr>
        <w:pStyle w:val="22"/>
        <w:spacing w:line="560" w:lineRule="exact"/>
        <w:ind w:firstLine="560" w:firstLineChars="200"/>
        <w:rPr>
          <w:rFonts w:hAnsi="仿宋"/>
          <w:sz w:val="28"/>
          <w:szCs w:val="28"/>
        </w:rPr>
      </w:pPr>
      <w:r>
        <w:rPr>
          <w:rFonts w:hint="eastAsia" w:hAnsi="仿宋"/>
          <w:sz w:val="28"/>
          <w:szCs w:val="28"/>
          <w:lang w:val="en-US" w:eastAsia="zh-CN"/>
        </w:rPr>
        <w:t>3</w:t>
      </w:r>
      <w:r>
        <w:rPr>
          <w:rFonts w:hAnsi="仿宋"/>
          <w:sz w:val="28"/>
          <w:szCs w:val="28"/>
        </w:rPr>
        <w:t>.</w:t>
      </w:r>
      <w:r>
        <w:rPr>
          <w:rFonts w:hint="eastAsia" w:hAnsi="仿宋"/>
          <w:sz w:val="28"/>
          <w:szCs w:val="28"/>
        </w:rPr>
        <w:t>年初结转和结余：指以前年度尚未完成、结转到本年按有关规定继续使用的资金。</w:t>
      </w:r>
      <w:r>
        <w:rPr>
          <w:rFonts w:hAnsi="仿宋"/>
          <w:sz w:val="28"/>
          <w:szCs w:val="28"/>
        </w:rPr>
        <w:t xml:space="preserve"> </w:t>
      </w:r>
    </w:p>
    <w:p>
      <w:pPr>
        <w:pStyle w:val="22"/>
        <w:spacing w:line="560" w:lineRule="exact"/>
        <w:ind w:firstLine="560" w:firstLineChars="200"/>
        <w:rPr>
          <w:rFonts w:hAnsi="仿宋"/>
          <w:sz w:val="28"/>
          <w:szCs w:val="28"/>
        </w:rPr>
      </w:pPr>
      <w:r>
        <w:rPr>
          <w:rFonts w:hint="eastAsia" w:hAnsi="仿宋"/>
          <w:sz w:val="28"/>
          <w:szCs w:val="28"/>
          <w:lang w:val="en-US" w:eastAsia="zh-CN"/>
        </w:rPr>
        <w:t>4</w:t>
      </w:r>
      <w:r>
        <w:rPr>
          <w:rFonts w:hAnsi="仿宋"/>
          <w:sz w:val="28"/>
          <w:szCs w:val="28"/>
        </w:rPr>
        <w:t>.</w:t>
      </w:r>
      <w:r>
        <w:rPr>
          <w:rFonts w:hint="eastAsia" w:hAnsi="仿宋"/>
          <w:sz w:val="28"/>
          <w:szCs w:val="28"/>
        </w:rPr>
        <w:t>结余分配：指事业单位按照事业单位会计制度的规定从非财政补助结余中分配的事业基金和职工福利基金等。</w:t>
      </w:r>
    </w:p>
    <w:p>
      <w:pPr>
        <w:pStyle w:val="22"/>
        <w:spacing w:line="560" w:lineRule="exact"/>
        <w:ind w:firstLine="560" w:firstLineChars="200"/>
        <w:rPr>
          <w:rFonts w:hAnsi="仿宋"/>
          <w:sz w:val="28"/>
          <w:szCs w:val="28"/>
        </w:rPr>
      </w:pPr>
      <w:r>
        <w:rPr>
          <w:rFonts w:hint="eastAsia" w:hAnsi="仿宋"/>
          <w:sz w:val="28"/>
          <w:szCs w:val="28"/>
          <w:lang w:val="en-US" w:eastAsia="zh-CN"/>
        </w:rPr>
        <w:t>5</w:t>
      </w:r>
      <w:r>
        <w:rPr>
          <w:rFonts w:hint="eastAsia" w:hAnsi="仿宋"/>
          <w:sz w:val="28"/>
          <w:szCs w:val="28"/>
        </w:rPr>
        <w:t>、年末结转和结余：指单位按有关规定结转到下年或以后年度继续使用的资金。</w:t>
      </w:r>
    </w:p>
    <w:p>
      <w:pPr>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.社会保障和就业（类）行政事业单位离退休（款）机关事业单位基本养老保险缴费支出（项）：指机关事业单位实施养老保险制度由单位缴纳的基本养老保险支出。</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医疗卫生与计划生育（类）行政事业单位医疗（款）事业单位医疗（项）：指财政部门集中安排的事业单位基本医疗保险缴费经费，未参加医疗保险的事业单位的公费医疗经费，按国家规定享受离休人员待遇的医疗经费。</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.医疗卫生与计划生育（类）行政事业单位医疗（款）公务员医疗补助（项）：指财政部门集中安排的公务员医疗补助经费。</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节能环保（类）环境保护管理事务（款）其他环境保护管理事务支出（项）：指除行政运行、一般行政管理事务、环境保护宣传、环境保护法规规划及标准、环境国际合作及履约、环境保护行政许可以外其他用于环境保护管理事务方面的支出。</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10</w:t>
      </w:r>
      <w:r>
        <w:rPr>
          <w:rFonts w:hint="eastAsia" w:ascii="仿宋" w:hAnsi="仿宋" w:eastAsia="仿宋"/>
          <w:color w:val="000000"/>
          <w:sz w:val="28"/>
          <w:szCs w:val="28"/>
        </w:rPr>
        <w:t>.节能环保（类）污染防治（款）其他污染防治支出（项）：指除大气、水体、噪声、固体废弃物与化学品、放射源和放射性废物监管、辐射以外其他用于污染防治方面的支出。</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节能环保（类）污染减排（款）环境监测与信息（项）：指环保部门监测和信息方面的支出，包括环境质量监测、污染治理设施竣工验收监测、污染源监督性监测、污染事故应急监测和污染纠纷监测等支出，环境统计和调查、环境质量评价、绿色国民经济核算等支出，环境信息系统建设、维护、运行、信息发布及其技术支持等方面的支出。</w:t>
      </w:r>
    </w:p>
    <w:p>
      <w:pPr>
        <w:spacing w:line="55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.住房保障支出（类）住房改革支出（款）住房公积金（项）：指行政事业单位按人力资源和社会保障部、财政部规定的基本工资和津贴补贴以及规定比例为职工缴纳的住房公积金。</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3</w:t>
      </w:r>
      <w:r>
        <w:rPr>
          <w:rFonts w:ascii="仿宋" w:hAnsi="仿宋" w:eastAsia="仿宋"/>
          <w:color w:val="000000"/>
          <w:sz w:val="28"/>
          <w:szCs w:val="28"/>
        </w:rPr>
        <w:t>.</w:t>
      </w:r>
      <w:r>
        <w:rPr>
          <w:rFonts w:hint="eastAsia" w:ascii="仿宋" w:hAnsi="仿宋" w:eastAsia="仿宋"/>
          <w:color w:val="000000"/>
          <w:sz w:val="28"/>
          <w:szCs w:val="28"/>
        </w:rPr>
        <w:t>基本支出：指为保障机构正常运转、完成日常工作任务而发生的人员支出和公用支出。</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4</w:t>
      </w:r>
      <w:r>
        <w:rPr>
          <w:rFonts w:ascii="仿宋" w:hAnsi="仿宋" w:eastAsia="仿宋"/>
          <w:color w:val="000000"/>
          <w:sz w:val="28"/>
          <w:szCs w:val="28"/>
        </w:rPr>
        <w:t>.</w:t>
      </w:r>
      <w:r>
        <w:rPr>
          <w:rFonts w:hint="eastAsia" w:ascii="仿宋" w:hAnsi="仿宋" w:eastAsia="仿宋"/>
          <w:color w:val="000000"/>
          <w:sz w:val="28"/>
          <w:szCs w:val="28"/>
        </w:rPr>
        <w:t>项目支出：指在基本支出之外为完成特定行政任务和事业发展目标所发生的支出。</w:t>
      </w:r>
      <w:r>
        <w:rPr>
          <w:rFonts w:ascii="仿宋" w:hAnsi="仿宋" w:eastAsia="仿宋"/>
          <w:color w:val="000000"/>
          <w:sz w:val="28"/>
          <w:szCs w:val="28"/>
        </w:rPr>
        <w:t xml:space="preserve"> </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5</w:t>
      </w:r>
      <w:r>
        <w:rPr>
          <w:rFonts w:ascii="仿宋" w:hAnsi="仿宋" w:eastAsia="仿宋"/>
          <w:color w:val="000000"/>
          <w:sz w:val="28"/>
          <w:szCs w:val="28"/>
        </w:rPr>
        <w:t>.</w:t>
      </w:r>
      <w:r>
        <w:rPr>
          <w:rFonts w:hint="eastAsia" w:ascii="仿宋" w:hAnsi="仿宋" w:eastAsia="仿宋"/>
          <w:color w:val="000000"/>
          <w:sz w:val="28"/>
          <w:szCs w:val="28"/>
        </w:rPr>
        <w:t>经营支出：指事业单位在专业业务活动及其辅助活动之外开展非独立核算经营活动发生的支出。</w:t>
      </w:r>
    </w:p>
    <w:p>
      <w:pPr>
        <w:pStyle w:val="22"/>
        <w:spacing w:line="560" w:lineRule="exact"/>
        <w:ind w:firstLine="560" w:firstLineChars="200"/>
        <w:rPr>
          <w:rFonts w:hint="eastAsia" w:hAnsi="仿宋"/>
          <w:sz w:val="28"/>
          <w:szCs w:val="28"/>
        </w:rPr>
      </w:pPr>
      <w:r>
        <w:rPr>
          <w:rFonts w:hint="eastAsia" w:hAnsi="仿宋"/>
          <w:sz w:val="28"/>
          <w:szCs w:val="28"/>
        </w:rPr>
        <w:t>1</w:t>
      </w:r>
      <w:r>
        <w:rPr>
          <w:rFonts w:hint="eastAsia" w:hAnsi="仿宋"/>
          <w:sz w:val="28"/>
          <w:szCs w:val="28"/>
          <w:lang w:val="en-US" w:eastAsia="zh-CN"/>
        </w:rPr>
        <w:t>6</w:t>
      </w:r>
      <w:r>
        <w:rPr>
          <w:rFonts w:hAnsi="仿宋"/>
          <w:sz w:val="28"/>
          <w:szCs w:val="28"/>
        </w:rPr>
        <w:t>.</w:t>
      </w:r>
      <w:r>
        <w:rPr>
          <w:rFonts w:hint="eastAsia" w:hAnsi="仿宋"/>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p>
    <w:p>
      <w:pPr>
        <w:pStyle w:val="22"/>
        <w:spacing w:line="560" w:lineRule="exact"/>
        <w:ind w:firstLine="560" w:firstLineChars="200"/>
        <w:rPr>
          <w:rFonts w:hint="eastAsia" w:hAnsi="仿宋"/>
          <w:sz w:val="28"/>
          <w:szCs w:val="28"/>
        </w:rPr>
      </w:pPr>
      <w:bookmarkStart w:id="72" w:name="_GoBack"/>
      <w:bookmarkEnd w:id="72"/>
    </w:p>
    <w:p>
      <w:pPr>
        <w:pStyle w:val="22"/>
        <w:spacing w:line="560" w:lineRule="exact"/>
        <w:ind w:firstLine="560" w:firstLineChars="200"/>
        <w:rPr>
          <w:rFonts w:hAnsi="仿宋"/>
          <w:sz w:val="28"/>
          <w:szCs w:val="28"/>
        </w:rPr>
      </w:pPr>
    </w:p>
    <w:p>
      <w:pPr>
        <w:spacing w:line="600" w:lineRule="exact"/>
        <w:jc w:val="center"/>
        <w:outlineLvl w:val="0"/>
        <w:rPr>
          <w:rStyle w:val="24"/>
          <w:rFonts w:ascii="黑体" w:hAnsi="黑体" w:eastAsia="黑体"/>
          <w:b w:val="0"/>
        </w:rPr>
      </w:pPr>
      <w:bookmarkStart w:id="56" w:name="_Toc15396614"/>
      <w:bookmarkStart w:id="57"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6"/>
    </w:p>
    <w:p>
      <w:pPr>
        <w:spacing w:line="600" w:lineRule="exact"/>
        <w:jc w:val="left"/>
        <w:outlineLvl w:val="0"/>
        <w:rPr>
          <w:rFonts w:ascii="黑体" w:hAnsi="黑体" w:eastAsia="黑体" w:cs="黑体"/>
          <w:sz w:val="32"/>
          <w:szCs w:val="32"/>
        </w:rPr>
      </w:pPr>
      <w:r>
        <w:rPr>
          <w:rFonts w:hint="eastAsia" w:ascii="黑体" w:hAnsi="黑体" w:eastAsia="黑体" w:cs="黑体"/>
          <w:sz w:val="32"/>
          <w:szCs w:val="32"/>
        </w:rPr>
        <w:t>附件1</w:t>
      </w:r>
    </w:p>
    <w:p>
      <w:pPr>
        <w:autoSpaceDN w:val="0"/>
        <w:spacing w:line="760" w:lineRule="exact"/>
        <w:jc w:val="center"/>
        <w:rPr>
          <w:rFonts w:ascii="仿宋" w:hAnsi="仿宋" w:eastAsia="仿宋"/>
          <w:sz w:val="28"/>
          <w:szCs w:val="28"/>
        </w:rPr>
      </w:pPr>
      <w:r>
        <w:rPr>
          <w:rFonts w:hint="eastAsia" w:ascii="仿宋" w:hAnsi="仿宋" w:eastAsia="仿宋" w:cs="方正小标宋_GBK"/>
          <w:w w:val="95"/>
          <w:sz w:val="28"/>
          <w:szCs w:val="28"/>
        </w:rPr>
        <w:t>攀枝花市仁和区环境监测站</w:t>
      </w:r>
    </w:p>
    <w:p>
      <w:pPr>
        <w:tabs>
          <w:tab w:val="left" w:pos="1590"/>
          <w:tab w:val="center" w:pos="4819"/>
        </w:tabs>
        <w:spacing w:line="760" w:lineRule="exact"/>
        <w:jc w:val="center"/>
        <w:rPr>
          <w:rFonts w:ascii="仿宋" w:hAnsi="仿宋" w:eastAsia="仿宋" w:cs="方正小标宋_GBK"/>
          <w:bCs/>
          <w:sz w:val="28"/>
          <w:szCs w:val="28"/>
        </w:rPr>
      </w:pPr>
      <w:r>
        <w:rPr>
          <w:rFonts w:hint="eastAsia" w:ascii="仿宋" w:hAnsi="仿宋" w:eastAsia="仿宋" w:cs="方正小标宋_GBK"/>
          <w:bCs/>
          <w:sz w:val="28"/>
          <w:szCs w:val="28"/>
        </w:rPr>
        <w:t>关于</w:t>
      </w:r>
      <w:r>
        <w:rPr>
          <w:rFonts w:ascii="仿宋" w:hAnsi="仿宋" w:eastAsia="仿宋" w:cs="方正小标宋_GBK"/>
          <w:bCs/>
          <w:sz w:val="28"/>
          <w:szCs w:val="28"/>
        </w:rPr>
        <w:t>201</w:t>
      </w:r>
      <w:r>
        <w:rPr>
          <w:rFonts w:hint="eastAsia" w:ascii="仿宋" w:hAnsi="仿宋" w:eastAsia="仿宋" w:cs="方正小标宋_GBK"/>
          <w:bCs/>
          <w:sz w:val="28"/>
          <w:szCs w:val="28"/>
        </w:rPr>
        <w:t>9年度部门预算整体绩效的</w:t>
      </w:r>
    </w:p>
    <w:p>
      <w:pPr>
        <w:tabs>
          <w:tab w:val="left" w:pos="1590"/>
          <w:tab w:val="center" w:pos="4819"/>
        </w:tabs>
        <w:spacing w:line="760" w:lineRule="exact"/>
        <w:jc w:val="center"/>
        <w:rPr>
          <w:rFonts w:ascii="仿宋" w:hAnsi="仿宋" w:eastAsia="仿宋" w:cs="方正小标宋_GBK"/>
          <w:bCs/>
          <w:sz w:val="28"/>
          <w:szCs w:val="28"/>
        </w:rPr>
      </w:pPr>
      <w:r>
        <w:rPr>
          <w:rFonts w:hint="eastAsia" w:ascii="仿宋" w:hAnsi="仿宋" w:eastAsia="仿宋" w:cs="方正小标宋_GBK"/>
          <w:bCs/>
          <w:sz w:val="28"/>
          <w:szCs w:val="28"/>
        </w:rPr>
        <w:t>自评报告</w:t>
      </w:r>
    </w:p>
    <w:p>
      <w:pPr>
        <w:spacing w:line="400" w:lineRule="exact"/>
        <w:rPr>
          <w:rFonts w:ascii="仿宋" w:hAnsi="仿宋" w:eastAsia="仿宋"/>
          <w:bCs/>
          <w:sz w:val="28"/>
          <w:szCs w:val="28"/>
        </w:rPr>
      </w:pPr>
    </w:p>
    <w:p>
      <w:pPr>
        <w:ind w:firstLine="560" w:firstLineChars="200"/>
        <w:rPr>
          <w:rFonts w:ascii="仿宋" w:hAnsi="仿宋" w:eastAsia="仿宋"/>
          <w:sz w:val="28"/>
          <w:szCs w:val="28"/>
        </w:rPr>
      </w:pPr>
      <w:r>
        <w:rPr>
          <w:rFonts w:ascii="仿宋" w:hAnsi="仿宋" w:eastAsia="仿宋"/>
          <w:sz w:val="28"/>
          <w:szCs w:val="28"/>
        </w:rPr>
        <w:t>根据仁和区财政局《关于开展2020年度部门预算整体绩效评价工作的通知》（攀仁财</w:t>
      </w:r>
      <w:r>
        <w:rPr>
          <w:rFonts w:hint="eastAsia" w:ascii="仿宋" w:hAnsi="仿宋" w:eastAsia="仿宋"/>
          <w:sz w:val="28"/>
          <w:szCs w:val="28"/>
        </w:rPr>
        <w:t>〔</w:t>
      </w:r>
      <w:r>
        <w:rPr>
          <w:rFonts w:ascii="仿宋" w:hAnsi="仿宋" w:eastAsia="仿宋"/>
          <w:sz w:val="28"/>
          <w:szCs w:val="28"/>
        </w:rPr>
        <w:t>2020</w:t>
      </w:r>
      <w:r>
        <w:rPr>
          <w:rFonts w:hint="eastAsia" w:ascii="仿宋" w:hAnsi="仿宋" w:eastAsia="仿宋"/>
          <w:sz w:val="28"/>
          <w:szCs w:val="28"/>
        </w:rPr>
        <w:t>〕</w:t>
      </w:r>
      <w:r>
        <w:rPr>
          <w:rFonts w:ascii="仿宋" w:hAnsi="仿宋" w:eastAsia="仿宋"/>
          <w:sz w:val="28"/>
          <w:szCs w:val="28"/>
        </w:rPr>
        <w:t>47号）</w:t>
      </w:r>
      <w:r>
        <w:rPr>
          <w:rFonts w:hint="eastAsia" w:ascii="仿宋" w:hAnsi="仿宋" w:eastAsia="仿宋"/>
          <w:sz w:val="28"/>
          <w:szCs w:val="28"/>
        </w:rPr>
        <w:t>要求</w:t>
      </w:r>
      <w:r>
        <w:rPr>
          <w:rFonts w:ascii="仿宋" w:hAnsi="仿宋" w:eastAsia="仿宋"/>
          <w:sz w:val="28"/>
          <w:szCs w:val="28"/>
        </w:rPr>
        <w:t>，我站组织力量对2019年度财政资金整体支出绩效进行了认真自评。现将有关情况报告如下：</w:t>
      </w:r>
    </w:p>
    <w:p>
      <w:pPr>
        <w:ind w:firstLine="560" w:firstLineChars="200"/>
        <w:rPr>
          <w:rFonts w:ascii="仿宋" w:hAnsi="仿宋" w:eastAsia="仿宋"/>
          <w:sz w:val="28"/>
          <w:szCs w:val="28"/>
        </w:rPr>
      </w:pPr>
      <w:r>
        <w:rPr>
          <w:rFonts w:ascii="仿宋" w:hAnsi="仿宋" w:eastAsia="仿宋"/>
          <w:sz w:val="28"/>
          <w:szCs w:val="28"/>
        </w:rPr>
        <w:t>一、基本情况</w:t>
      </w:r>
      <w:r>
        <w:rPr>
          <w:rFonts w:ascii="仿宋" w:hAnsi="仿宋" w:eastAsia="仿宋"/>
          <w:sz w:val="28"/>
          <w:szCs w:val="28"/>
        </w:rPr>
        <w:tab/>
      </w:r>
    </w:p>
    <w:p>
      <w:pPr>
        <w:ind w:firstLine="560" w:firstLineChars="200"/>
        <w:rPr>
          <w:rFonts w:ascii="仿宋" w:hAnsi="仿宋" w:eastAsia="仿宋"/>
          <w:sz w:val="28"/>
          <w:szCs w:val="28"/>
        </w:rPr>
      </w:pPr>
      <w:r>
        <w:rPr>
          <w:rFonts w:ascii="仿宋" w:hAnsi="仿宋" w:eastAsia="仿宋"/>
          <w:sz w:val="28"/>
          <w:szCs w:val="28"/>
        </w:rPr>
        <w:t>仁和区环境监测站于1986年12月20日建立</w:t>
      </w:r>
      <w:r>
        <w:rPr>
          <w:rFonts w:hint="eastAsia" w:ascii="仿宋" w:hAnsi="仿宋" w:eastAsia="仿宋"/>
          <w:sz w:val="28"/>
          <w:szCs w:val="28"/>
        </w:rPr>
        <w:t>，</w:t>
      </w:r>
      <w:r>
        <w:rPr>
          <w:rFonts w:ascii="仿宋" w:hAnsi="仿宋" w:eastAsia="仿宋"/>
          <w:sz w:val="28"/>
          <w:szCs w:val="28"/>
        </w:rPr>
        <w:t>为仁和区环保局下属具有独立法人资格的公益一类事业单位</w:t>
      </w:r>
      <w:r>
        <w:rPr>
          <w:rFonts w:hint="eastAsia" w:ascii="仿宋" w:hAnsi="仿宋" w:eastAsia="仿宋"/>
          <w:sz w:val="28"/>
          <w:szCs w:val="28"/>
        </w:rPr>
        <w:t>，</w:t>
      </w:r>
      <w:r>
        <w:rPr>
          <w:rFonts w:ascii="仿宋" w:hAnsi="仿宋" w:eastAsia="仿宋"/>
          <w:sz w:val="28"/>
          <w:szCs w:val="28"/>
        </w:rPr>
        <w:t>主要承担辖区环境质量现状监测、污染源监督性监测、突发污染事件应急监测、污染纠纷仲裁监测和上级环境保护部门下达的其他监测任务，为环境管理提供技术支持。现有编制15人，实有在编在岗人员13名，退休</w:t>
      </w:r>
      <w:r>
        <w:rPr>
          <w:rFonts w:hint="eastAsia" w:ascii="仿宋" w:hAnsi="仿宋" w:eastAsia="仿宋"/>
          <w:sz w:val="28"/>
          <w:szCs w:val="28"/>
        </w:rPr>
        <w:t>人员</w:t>
      </w:r>
      <w:r>
        <w:rPr>
          <w:rFonts w:ascii="仿宋" w:hAnsi="仿宋" w:eastAsia="仿宋"/>
          <w:sz w:val="28"/>
          <w:szCs w:val="28"/>
        </w:rPr>
        <w:t>1名。截止2019年12月31日资产总额2,909,517.09元，其中：流动资产239,212.00元，固定资产原价5,381,950.00元，固定资产累计折旧2,711,644.91元，固定资产净值2,670,305.09。负债总额0元。净资产总计2,909,517.09元。</w:t>
      </w:r>
    </w:p>
    <w:p>
      <w:pPr>
        <w:ind w:firstLine="560" w:firstLineChars="200"/>
        <w:rPr>
          <w:rFonts w:ascii="仿宋" w:hAnsi="仿宋" w:eastAsia="仿宋"/>
          <w:sz w:val="28"/>
          <w:szCs w:val="28"/>
        </w:rPr>
      </w:pPr>
      <w:r>
        <w:rPr>
          <w:rFonts w:ascii="仿宋" w:hAnsi="仿宋" w:eastAsia="仿宋"/>
          <w:sz w:val="28"/>
          <w:szCs w:val="28"/>
        </w:rPr>
        <w:t>二、财政资金收支情况</w:t>
      </w:r>
    </w:p>
    <w:p>
      <w:pPr>
        <w:ind w:firstLine="560" w:firstLineChars="200"/>
        <w:rPr>
          <w:rFonts w:ascii="仿宋" w:hAnsi="仿宋" w:eastAsia="仿宋"/>
          <w:sz w:val="28"/>
          <w:szCs w:val="28"/>
        </w:rPr>
      </w:pPr>
      <w:r>
        <w:rPr>
          <w:rFonts w:hint="eastAsia" w:ascii="仿宋" w:hAnsi="仿宋" w:eastAsia="仿宋"/>
          <w:sz w:val="28"/>
          <w:szCs w:val="28"/>
        </w:rPr>
        <w:t>(一)财政资金收入情况。</w:t>
      </w:r>
    </w:p>
    <w:p>
      <w:pPr>
        <w:ind w:firstLine="560" w:firstLineChars="200"/>
        <w:rPr>
          <w:rFonts w:ascii="仿宋" w:hAnsi="仿宋" w:eastAsia="仿宋"/>
          <w:sz w:val="28"/>
          <w:szCs w:val="28"/>
        </w:rPr>
      </w:pPr>
      <w:r>
        <w:rPr>
          <w:rFonts w:ascii="仿宋" w:hAnsi="仿宋" w:eastAsia="仿宋"/>
          <w:sz w:val="28"/>
          <w:szCs w:val="28"/>
        </w:rPr>
        <w:t>2019年度，我站收入总计322.33万元。其中：财政拨款收入共计258.33万元，占总收入的80.14%（其中：基本收入206.28万元，占本年财政拨款收入的79.85%；项目收入52.05万元，占本年财政拨款收入的20.15%）；年初结转和结余资金64.01万元</w:t>
      </w:r>
      <w:r>
        <w:rPr>
          <w:rFonts w:hint="eastAsia" w:ascii="仿宋" w:hAnsi="仿宋" w:eastAsia="仿宋"/>
          <w:sz w:val="28"/>
          <w:szCs w:val="28"/>
        </w:rPr>
        <w:t>，</w:t>
      </w:r>
      <w:r>
        <w:rPr>
          <w:rFonts w:ascii="仿宋" w:hAnsi="仿宋" w:eastAsia="仿宋"/>
          <w:sz w:val="28"/>
          <w:szCs w:val="28"/>
        </w:rPr>
        <w:t>占总收入的19.86%。</w:t>
      </w:r>
    </w:p>
    <w:p>
      <w:pPr>
        <w:ind w:firstLine="560" w:firstLineChars="200"/>
        <w:rPr>
          <w:rFonts w:ascii="仿宋" w:hAnsi="仿宋" w:eastAsia="仿宋"/>
          <w:sz w:val="28"/>
          <w:szCs w:val="28"/>
        </w:rPr>
      </w:pPr>
      <w:r>
        <w:rPr>
          <w:rFonts w:hint="eastAsia" w:ascii="仿宋" w:hAnsi="仿宋" w:eastAsia="仿宋"/>
          <w:sz w:val="28"/>
          <w:szCs w:val="28"/>
        </w:rPr>
        <w:t>（二）财政资金支出情况。</w:t>
      </w:r>
    </w:p>
    <w:p>
      <w:pPr>
        <w:ind w:firstLine="560" w:firstLineChars="200"/>
        <w:rPr>
          <w:rFonts w:ascii="仿宋" w:hAnsi="仿宋" w:eastAsia="仿宋"/>
          <w:sz w:val="28"/>
          <w:szCs w:val="28"/>
        </w:rPr>
      </w:pPr>
      <w:r>
        <w:rPr>
          <w:rFonts w:ascii="仿宋" w:hAnsi="仿宋" w:eastAsia="仿宋"/>
          <w:sz w:val="28"/>
          <w:szCs w:val="28"/>
        </w:rPr>
        <w:t>2019年度部门决算本年支出307.71万元</w:t>
      </w:r>
      <w:r>
        <w:rPr>
          <w:rFonts w:hint="eastAsia" w:ascii="仿宋" w:hAnsi="仿宋" w:eastAsia="仿宋"/>
          <w:sz w:val="28"/>
          <w:szCs w:val="28"/>
        </w:rPr>
        <w:t>，</w:t>
      </w:r>
      <w:r>
        <w:rPr>
          <w:rFonts w:ascii="仿宋" w:hAnsi="仿宋" w:eastAsia="仿宋"/>
          <w:sz w:val="28"/>
          <w:szCs w:val="28"/>
        </w:rPr>
        <w:t>其中：机关事业单位基本养老保险缴费支出15.56万元，占支出的5.06%；事业单位医疗支出8.05万元，占支出的2.62%；公务员医疗补助支出1.12万元占支出的0.36%；其他环境保护管理事务支出160.73万元占支出的52.23%；其他污染防治支出92.79万元，占支出的30.15%；环境监测与信息支出8.64万元，占支出的2.81%；住房公积金支出20.82万元，占支出6.77%。</w:t>
      </w:r>
    </w:p>
    <w:p>
      <w:pPr>
        <w:ind w:firstLine="560" w:firstLineChars="200"/>
        <w:rPr>
          <w:rFonts w:ascii="仿宋" w:hAnsi="仿宋" w:eastAsia="仿宋"/>
          <w:sz w:val="28"/>
          <w:szCs w:val="28"/>
        </w:rPr>
      </w:pPr>
      <w:r>
        <w:rPr>
          <w:rFonts w:ascii="仿宋" w:hAnsi="仿宋" w:eastAsia="仿宋"/>
          <w:sz w:val="28"/>
          <w:szCs w:val="28"/>
        </w:rPr>
        <w:t>三、财政支出管理情况</w:t>
      </w:r>
    </w:p>
    <w:p>
      <w:pPr>
        <w:ind w:firstLine="560" w:firstLineChars="200"/>
        <w:rPr>
          <w:rFonts w:ascii="仿宋" w:hAnsi="仿宋" w:eastAsia="仿宋"/>
          <w:sz w:val="28"/>
          <w:szCs w:val="28"/>
        </w:rPr>
      </w:pPr>
      <w:r>
        <w:rPr>
          <w:rFonts w:hint="eastAsia" w:ascii="仿宋" w:hAnsi="仿宋" w:eastAsia="仿宋"/>
          <w:sz w:val="28"/>
          <w:szCs w:val="28"/>
        </w:rPr>
        <w:t>（一）预决算编制情况。</w:t>
      </w:r>
    </w:p>
    <w:p>
      <w:pPr>
        <w:ind w:firstLine="560" w:firstLineChars="200"/>
        <w:rPr>
          <w:rFonts w:ascii="仿宋" w:hAnsi="仿宋" w:eastAsia="仿宋"/>
          <w:sz w:val="28"/>
          <w:szCs w:val="28"/>
        </w:rPr>
      </w:pPr>
      <w:r>
        <w:rPr>
          <w:rFonts w:ascii="仿宋" w:hAnsi="仿宋" w:eastAsia="仿宋"/>
          <w:sz w:val="28"/>
          <w:szCs w:val="28"/>
        </w:rPr>
        <w:t>我站严格按照</w:t>
      </w:r>
      <w:r>
        <w:rPr>
          <w:rFonts w:hint="eastAsia" w:ascii="仿宋" w:hAnsi="仿宋" w:eastAsia="仿宋"/>
          <w:sz w:val="28"/>
          <w:szCs w:val="28"/>
        </w:rPr>
        <w:t>仁和</w:t>
      </w:r>
      <w:r>
        <w:rPr>
          <w:rFonts w:ascii="仿宋" w:hAnsi="仿宋" w:eastAsia="仿宋"/>
          <w:sz w:val="28"/>
          <w:szCs w:val="28"/>
        </w:rPr>
        <w:t>区财政局《关于编制2019年度本级预算的通知》相关文件精神准确编制2019年度预算部门预算，全面反映部门真实收入情况。基本支出预算按照人员经费按标准、公用经费按定额的原则客观编制，并严格按照根据项目要求对项目进行充分论证、分析和绩效评估、明确支出范围、采取零基预算的方法编制项目支出预算。2019年度部门决算编制符合规定，数据准确，与财政部门拨款核对相符；上年结转和结余核对相符。在报表审核中认真做好指标变动说明及部门决算报告编报说明；根据部门决算改革需要，撰写2019年度部门决算分析报告。按时按质完成2019年度决算编制工作。</w:t>
      </w:r>
    </w:p>
    <w:p>
      <w:pPr>
        <w:ind w:firstLine="560" w:firstLineChars="200"/>
        <w:rPr>
          <w:rFonts w:ascii="仿宋" w:hAnsi="仿宋" w:eastAsia="仿宋"/>
          <w:sz w:val="28"/>
          <w:szCs w:val="28"/>
        </w:rPr>
      </w:pPr>
      <w:r>
        <w:rPr>
          <w:rFonts w:hint="eastAsia" w:ascii="仿宋" w:hAnsi="仿宋" w:eastAsia="仿宋"/>
          <w:sz w:val="28"/>
          <w:szCs w:val="28"/>
        </w:rPr>
        <w:t>（二）执行管理情况。</w:t>
      </w:r>
    </w:p>
    <w:p>
      <w:pPr>
        <w:ind w:firstLine="560" w:firstLineChars="200"/>
        <w:rPr>
          <w:rFonts w:ascii="仿宋" w:hAnsi="仿宋" w:eastAsia="仿宋"/>
          <w:sz w:val="28"/>
          <w:szCs w:val="28"/>
        </w:rPr>
      </w:pPr>
      <w:r>
        <w:rPr>
          <w:rFonts w:ascii="仿宋" w:hAnsi="仿宋" w:eastAsia="仿宋"/>
          <w:sz w:val="28"/>
          <w:szCs w:val="28"/>
        </w:rPr>
        <w:t>及时在仁和区公众信息网公示预算批复情况，各项经费的开支范围以预算批复数为基准，严格按照工作进度执行预算，由财政按时足额直发工资。项目资金根据项目完成情况及时支付，确保全年目标任务完成。严格执行中央八项规定，压缩公用经费支出，加强单位公务用车派遣、维修、加油等审批管理，有效控制公务用车运行成本；严格执行公务接待审批制度，严禁超标准、超人数接待；严格公务外出审批，2019度无出国境支出。全年无超预算开支“三公”经费的情况。</w:t>
      </w:r>
    </w:p>
    <w:p>
      <w:pPr>
        <w:ind w:firstLine="560" w:firstLineChars="200"/>
        <w:rPr>
          <w:rFonts w:ascii="仿宋" w:hAnsi="仿宋" w:eastAsia="仿宋"/>
          <w:sz w:val="28"/>
          <w:szCs w:val="28"/>
        </w:rPr>
      </w:pPr>
      <w:r>
        <w:rPr>
          <w:rFonts w:hint="eastAsia" w:ascii="仿宋" w:hAnsi="仿宋" w:eastAsia="仿宋"/>
          <w:sz w:val="28"/>
          <w:szCs w:val="28"/>
        </w:rPr>
        <w:t>（三）支出绩效情况。</w:t>
      </w:r>
    </w:p>
    <w:p>
      <w:pPr>
        <w:ind w:firstLine="64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 xml:space="preserve"> 保障部门运转</w:t>
      </w:r>
      <w:r>
        <w:rPr>
          <w:rFonts w:hint="eastAsia" w:ascii="仿宋" w:hAnsi="仿宋" w:eastAsia="仿宋"/>
          <w:sz w:val="28"/>
          <w:szCs w:val="28"/>
        </w:rPr>
        <w:t>正常。</w:t>
      </w:r>
      <w:r>
        <w:rPr>
          <w:rFonts w:ascii="仿宋" w:hAnsi="仿宋" w:eastAsia="仿宋"/>
          <w:sz w:val="28"/>
          <w:szCs w:val="28"/>
        </w:rPr>
        <w:t>仁和区环境监测站决算支出主要用于保障部门机构正常运转、完成日常工作任务及本单位承担的各项环境监测工作。基本支出206.28万元主要用于保障仁和区环境监测站正常运转的日常支出，包括基本工资、津贴补贴等人员经费及办公费、水电费、差旅费等日常公用经费。</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.严控支出</w:t>
      </w:r>
      <w:r>
        <w:rPr>
          <w:rFonts w:ascii="仿宋" w:hAnsi="仿宋" w:eastAsia="仿宋"/>
          <w:sz w:val="28"/>
          <w:szCs w:val="28"/>
        </w:rPr>
        <w:t>厉行节约</w:t>
      </w:r>
      <w:r>
        <w:rPr>
          <w:rFonts w:hint="eastAsia" w:ascii="仿宋" w:hAnsi="仿宋" w:eastAsia="仿宋"/>
          <w:sz w:val="28"/>
          <w:szCs w:val="28"/>
        </w:rPr>
        <w:t>。</w:t>
      </w:r>
      <w:r>
        <w:rPr>
          <w:rFonts w:ascii="仿宋" w:hAnsi="仿宋" w:eastAsia="仿宋"/>
          <w:sz w:val="28"/>
          <w:szCs w:val="28"/>
        </w:rPr>
        <w:t>2019年我站无因公出国（境）经费</w:t>
      </w:r>
      <w:r>
        <w:rPr>
          <w:rFonts w:hint="eastAsia" w:ascii="仿宋" w:hAnsi="仿宋" w:eastAsia="仿宋"/>
          <w:sz w:val="28"/>
          <w:szCs w:val="28"/>
        </w:rPr>
        <w:t>、</w:t>
      </w:r>
      <w:r>
        <w:rPr>
          <w:rFonts w:ascii="仿宋" w:hAnsi="仿宋" w:eastAsia="仿宋"/>
          <w:sz w:val="28"/>
          <w:szCs w:val="28"/>
        </w:rPr>
        <w:t>公务用车购置及运行维护费</w:t>
      </w:r>
      <w:r>
        <w:rPr>
          <w:rFonts w:hint="eastAsia" w:ascii="仿宋" w:hAnsi="仿宋" w:eastAsia="仿宋"/>
          <w:sz w:val="28"/>
          <w:szCs w:val="28"/>
        </w:rPr>
        <w:t>和</w:t>
      </w:r>
      <w:r>
        <w:rPr>
          <w:rFonts w:ascii="仿宋" w:hAnsi="仿宋" w:eastAsia="仿宋"/>
          <w:sz w:val="28"/>
          <w:szCs w:val="28"/>
        </w:rPr>
        <w:t>会议费支出</w:t>
      </w:r>
      <w:r>
        <w:rPr>
          <w:rFonts w:hint="eastAsia" w:ascii="仿宋" w:hAnsi="仿宋" w:eastAsia="仿宋"/>
          <w:sz w:val="28"/>
          <w:szCs w:val="28"/>
        </w:rPr>
        <w:t>；</w:t>
      </w:r>
      <w:r>
        <w:rPr>
          <w:rFonts w:ascii="仿宋" w:hAnsi="仿宋" w:eastAsia="仿宋"/>
          <w:sz w:val="28"/>
          <w:szCs w:val="28"/>
        </w:rPr>
        <w:t>2019年公务接待费支出0.38万元，</w:t>
      </w:r>
      <w:r>
        <w:rPr>
          <w:rFonts w:hint="eastAsia" w:ascii="仿宋" w:hAnsi="仿宋" w:eastAsia="仿宋"/>
          <w:sz w:val="28"/>
          <w:szCs w:val="28"/>
        </w:rPr>
        <w:t>较</w:t>
      </w:r>
      <w:r>
        <w:rPr>
          <w:rFonts w:ascii="仿宋" w:hAnsi="仿宋" w:eastAsia="仿宋"/>
          <w:sz w:val="28"/>
          <w:szCs w:val="28"/>
        </w:rPr>
        <w:t>2018年增加</w:t>
      </w:r>
      <w:r>
        <w:rPr>
          <w:rFonts w:hint="eastAsia" w:ascii="仿宋" w:hAnsi="仿宋" w:eastAsia="仿宋"/>
          <w:sz w:val="28"/>
          <w:szCs w:val="28"/>
        </w:rPr>
        <w:t>1710</w:t>
      </w:r>
      <w:r>
        <w:rPr>
          <w:rFonts w:ascii="仿宋" w:hAnsi="仿宋" w:eastAsia="仿宋"/>
          <w:sz w:val="28"/>
          <w:szCs w:val="28"/>
        </w:rPr>
        <w:t>%</w:t>
      </w:r>
      <w:r>
        <w:rPr>
          <w:rFonts w:hint="eastAsia" w:ascii="仿宋" w:hAnsi="仿宋" w:eastAsia="仿宋"/>
          <w:sz w:val="28"/>
          <w:szCs w:val="28"/>
        </w:rPr>
        <w:t>，主要原因</w:t>
      </w:r>
      <w:r>
        <w:rPr>
          <w:rFonts w:ascii="仿宋" w:hAnsi="仿宋" w:eastAsia="仿宋"/>
          <w:sz w:val="28"/>
          <w:szCs w:val="28"/>
        </w:rPr>
        <w:t>是</w:t>
      </w:r>
      <w:r>
        <w:rPr>
          <w:rFonts w:hint="eastAsia" w:ascii="仿宋" w:hAnsi="仿宋" w:eastAsia="仿宋"/>
          <w:sz w:val="28"/>
          <w:szCs w:val="28"/>
        </w:rPr>
        <w:t>上级对我站</w:t>
      </w:r>
      <w:r>
        <w:rPr>
          <w:rFonts w:ascii="仿宋" w:hAnsi="仿宋" w:eastAsia="仿宋"/>
          <w:sz w:val="28"/>
          <w:szCs w:val="28"/>
        </w:rPr>
        <w:t>环境监测</w:t>
      </w:r>
      <w:r>
        <w:rPr>
          <w:rFonts w:hint="eastAsia" w:ascii="仿宋" w:hAnsi="仿宋" w:eastAsia="仿宋"/>
          <w:sz w:val="28"/>
          <w:szCs w:val="28"/>
        </w:rPr>
        <w:t>业务</w:t>
      </w:r>
      <w:r>
        <w:rPr>
          <w:rFonts w:ascii="仿宋" w:hAnsi="仿宋" w:eastAsia="仿宋"/>
          <w:sz w:val="28"/>
          <w:szCs w:val="28"/>
        </w:rPr>
        <w:t>检查</w:t>
      </w:r>
      <w:r>
        <w:rPr>
          <w:rFonts w:hint="eastAsia" w:ascii="仿宋" w:hAnsi="仿宋" w:eastAsia="仿宋"/>
          <w:sz w:val="28"/>
          <w:szCs w:val="28"/>
        </w:rPr>
        <w:t>和</w:t>
      </w:r>
      <w:r>
        <w:rPr>
          <w:rFonts w:ascii="仿宋" w:hAnsi="仿宋" w:eastAsia="仿宋"/>
          <w:sz w:val="28"/>
          <w:szCs w:val="28"/>
        </w:rPr>
        <w:t>考核接待</w:t>
      </w:r>
      <w:r>
        <w:rPr>
          <w:rFonts w:hint="eastAsia" w:ascii="仿宋" w:hAnsi="仿宋" w:eastAsia="仿宋"/>
          <w:sz w:val="28"/>
          <w:szCs w:val="28"/>
        </w:rPr>
        <w:t>次数增加</w:t>
      </w:r>
      <w:r>
        <w:rPr>
          <w:rFonts w:ascii="仿宋" w:hAnsi="仿宋" w:eastAsia="仿宋"/>
          <w:sz w:val="28"/>
          <w:szCs w:val="28"/>
        </w:rPr>
        <w:t>。我站严格按照节能降耗相关要求，做实做细节能采购、节约用电、节约用水</w:t>
      </w:r>
      <w:r>
        <w:rPr>
          <w:rFonts w:hint="eastAsia" w:ascii="仿宋" w:hAnsi="仿宋" w:eastAsia="仿宋"/>
          <w:sz w:val="28"/>
          <w:szCs w:val="28"/>
        </w:rPr>
        <w:t>等</w:t>
      </w:r>
      <w:r>
        <w:rPr>
          <w:rFonts w:ascii="仿宋" w:hAnsi="仿宋" w:eastAsia="仿宋"/>
          <w:sz w:val="28"/>
          <w:szCs w:val="28"/>
        </w:rPr>
        <w:t>机关节能降耗</w:t>
      </w:r>
      <w:r>
        <w:rPr>
          <w:rFonts w:hint="eastAsia" w:ascii="仿宋" w:hAnsi="仿宋" w:eastAsia="仿宋"/>
          <w:sz w:val="28"/>
          <w:szCs w:val="28"/>
        </w:rPr>
        <w:t>措施</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3.项目</w:t>
      </w:r>
      <w:r>
        <w:rPr>
          <w:rFonts w:ascii="仿宋" w:hAnsi="仿宋" w:eastAsia="仿宋"/>
          <w:sz w:val="28"/>
          <w:szCs w:val="28"/>
        </w:rPr>
        <w:t>预算支出</w:t>
      </w:r>
      <w:r>
        <w:rPr>
          <w:rFonts w:hint="eastAsia" w:ascii="仿宋" w:hAnsi="仿宋" w:eastAsia="仿宋"/>
          <w:sz w:val="28"/>
          <w:szCs w:val="28"/>
        </w:rPr>
        <w:t>符合规范。我站</w:t>
      </w:r>
      <w:r>
        <w:rPr>
          <w:rFonts w:ascii="仿宋" w:hAnsi="仿宋" w:eastAsia="仿宋"/>
          <w:sz w:val="28"/>
          <w:szCs w:val="28"/>
        </w:rPr>
        <w:t>严格按照资金用途使用，做到专款专用，确保资金使用安全、公平、合理。</w:t>
      </w:r>
    </w:p>
    <w:p>
      <w:pPr>
        <w:ind w:firstLine="560" w:firstLineChars="200"/>
        <w:rPr>
          <w:rFonts w:ascii="仿宋" w:hAnsi="仿宋" w:eastAsia="仿宋"/>
          <w:sz w:val="28"/>
          <w:szCs w:val="28"/>
        </w:rPr>
      </w:pPr>
      <w:r>
        <w:rPr>
          <w:rFonts w:hint="eastAsia" w:ascii="仿宋" w:hAnsi="仿宋" w:eastAsia="仿宋"/>
          <w:sz w:val="28"/>
          <w:szCs w:val="28"/>
        </w:rPr>
        <w:t>（四）财政管理情况。</w:t>
      </w:r>
    </w:p>
    <w:p>
      <w:pPr>
        <w:ind w:firstLine="560" w:firstLineChars="200"/>
        <w:rPr>
          <w:rFonts w:ascii="仿宋" w:hAnsi="仿宋" w:eastAsia="仿宋"/>
          <w:sz w:val="28"/>
          <w:szCs w:val="28"/>
        </w:rPr>
      </w:pPr>
      <w:r>
        <w:rPr>
          <w:rFonts w:hint="eastAsia" w:ascii="仿宋" w:hAnsi="仿宋" w:eastAsia="仿宋"/>
          <w:sz w:val="28"/>
          <w:szCs w:val="28"/>
        </w:rPr>
        <w:t>我</w:t>
      </w:r>
      <w:r>
        <w:rPr>
          <w:rFonts w:ascii="仿宋" w:hAnsi="仿宋" w:eastAsia="仿宋"/>
          <w:sz w:val="28"/>
          <w:szCs w:val="28"/>
        </w:rPr>
        <w:t>站严格执行《</w:t>
      </w:r>
      <w:r>
        <w:rPr>
          <w:rFonts w:hint="eastAsia" w:ascii="仿宋" w:hAnsi="仿宋" w:eastAsia="仿宋"/>
          <w:sz w:val="28"/>
          <w:szCs w:val="28"/>
        </w:rPr>
        <w:t>政府</w:t>
      </w:r>
      <w:r>
        <w:rPr>
          <w:rFonts w:ascii="仿宋" w:hAnsi="仿宋" w:eastAsia="仿宋"/>
          <w:sz w:val="28"/>
          <w:szCs w:val="28"/>
        </w:rPr>
        <w:t>会计制度》，建立财务管理制度，规范账务处理，会计凭证和财务报告真实完整，不做假账。加强三公经费管理，严格控制三公经费支出。机机公务接待、会议费、差旅费严格按照仁和区党政机关公务接待、会议费、差旅费管理办法执行。</w:t>
      </w:r>
    </w:p>
    <w:p>
      <w:pPr>
        <w:ind w:firstLine="560" w:firstLineChars="200"/>
        <w:rPr>
          <w:rFonts w:ascii="仿宋" w:hAnsi="仿宋" w:eastAsia="仿宋"/>
          <w:sz w:val="28"/>
          <w:szCs w:val="28"/>
        </w:rPr>
      </w:pPr>
      <w:r>
        <w:rPr>
          <w:rFonts w:ascii="仿宋" w:hAnsi="仿宋" w:eastAsia="仿宋"/>
          <w:sz w:val="28"/>
          <w:szCs w:val="28"/>
        </w:rPr>
        <w:t>四、评价结论及建议</w:t>
      </w:r>
    </w:p>
    <w:p>
      <w:pPr>
        <w:ind w:firstLine="560" w:firstLineChars="200"/>
        <w:rPr>
          <w:rFonts w:ascii="仿宋" w:hAnsi="仿宋" w:eastAsia="仿宋"/>
          <w:sz w:val="28"/>
          <w:szCs w:val="28"/>
        </w:rPr>
      </w:pPr>
      <w:r>
        <w:rPr>
          <w:rFonts w:hint="eastAsia" w:ascii="仿宋" w:hAnsi="仿宋" w:eastAsia="仿宋"/>
          <w:sz w:val="28"/>
          <w:szCs w:val="28"/>
        </w:rPr>
        <w:t>（一）评价结论。</w:t>
      </w:r>
    </w:p>
    <w:p>
      <w:pPr>
        <w:ind w:firstLine="560" w:firstLineChars="200"/>
        <w:rPr>
          <w:rFonts w:ascii="仿宋" w:hAnsi="仿宋" w:eastAsia="仿宋"/>
          <w:sz w:val="28"/>
          <w:szCs w:val="28"/>
        </w:rPr>
      </w:pPr>
      <w:r>
        <w:rPr>
          <w:rFonts w:ascii="仿宋" w:hAnsi="仿宋" w:eastAsia="仿宋"/>
          <w:sz w:val="28"/>
          <w:szCs w:val="28"/>
        </w:rPr>
        <w:t>总体上看，我站2019年部门预算整体支出情况良好，财政资金预算配置合理合规，预算执行严格有序，预算管理规范可控，资金效益合乎预期。预算、执行、收支、资产管理及信息公开都严格按相关制度要求进行，全年收支平衡，有效保证了机构运转，圆满完成了上级下达的目标任务，取得了较大的社会效益。</w:t>
      </w:r>
    </w:p>
    <w:p>
      <w:pPr>
        <w:ind w:firstLine="560" w:firstLineChars="200"/>
        <w:rPr>
          <w:rFonts w:ascii="仿宋" w:hAnsi="仿宋" w:eastAsia="仿宋"/>
          <w:sz w:val="28"/>
          <w:szCs w:val="28"/>
        </w:rPr>
      </w:pPr>
      <w:r>
        <w:rPr>
          <w:rFonts w:hint="eastAsia" w:ascii="仿宋" w:hAnsi="仿宋" w:eastAsia="仿宋"/>
          <w:sz w:val="28"/>
          <w:szCs w:val="28"/>
        </w:rPr>
        <w:t>（二）存在问题及建议。</w:t>
      </w:r>
    </w:p>
    <w:p>
      <w:pPr>
        <w:ind w:firstLine="560" w:firstLineChars="200"/>
        <w:rPr>
          <w:rFonts w:ascii="仿宋" w:hAnsi="仿宋" w:eastAsia="仿宋"/>
          <w:sz w:val="28"/>
          <w:szCs w:val="28"/>
        </w:rPr>
      </w:pPr>
      <w:r>
        <w:rPr>
          <w:rFonts w:ascii="仿宋" w:hAnsi="仿宋" w:eastAsia="仿宋"/>
          <w:sz w:val="28"/>
          <w:szCs w:val="28"/>
        </w:rPr>
        <w:t>通过自评，我站还存在部分专项资金使用范围不明确导致资金使用进度缓慢的问题。下一步，将加强单位内部控制建设，建立内控长效机制，进一步加强财务管理和监督，严控“三公经费”支出，严格管理现金支出，加大与上级主管部门在项目建设方面的沟通协调，不断提高财政资金使用管理质效。</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8"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sz w:val="28"/>
          <w:szCs w:val="28"/>
        </w:rPr>
      </w:pPr>
      <w:bookmarkStart w:id="59" w:name="_Toc15396619"/>
      <w:r>
        <w:rPr>
          <w:rFonts w:hint="eastAsia" w:ascii="仿宋" w:hAnsi="仿宋" w:eastAsia="仿宋"/>
          <w:b w:val="0"/>
          <w:color w:val="000000"/>
          <w:sz w:val="28"/>
          <w:szCs w:val="28"/>
        </w:rPr>
        <w:t>一、收</w:t>
      </w:r>
      <w:r>
        <w:rPr>
          <w:rStyle w:val="25"/>
          <w:rFonts w:hint="eastAsia" w:ascii="仿宋" w:hAnsi="仿宋" w:eastAsia="仿宋"/>
          <w:b w:val="0"/>
          <w:bCs w:val="0"/>
          <w:sz w:val="28"/>
          <w:szCs w:val="28"/>
        </w:rPr>
        <w:t>入支出决算总表</w:t>
      </w:r>
      <w:bookmarkEnd w:id="59"/>
    </w:p>
    <w:p>
      <w:pPr>
        <w:pStyle w:val="3"/>
        <w:rPr>
          <w:rFonts w:ascii="仿宋" w:hAnsi="仿宋" w:eastAsia="仿宋"/>
          <w:color w:val="000000"/>
          <w:sz w:val="28"/>
          <w:szCs w:val="28"/>
        </w:rPr>
      </w:pPr>
      <w:bookmarkStart w:id="60" w:name="_Toc15396620"/>
      <w:r>
        <w:rPr>
          <w:rFonts w:hint="eastAsia" w:ascii="仿宋" w:hAnsi="仿宋" w:eastAsia="仿宋"/>
          <w:b w:val="0"/>
          <w:color w:val="000000"/>
          <w:sz w:val="28"/>
          <w:szCs w:val="28"/>
        </w:rPr>
        <w:t>二、收</w:t>
      </w:r>
      <w:r>
        <w:rPr>
          <w:rStyle w:val="25"/>
          <w:rFonts w:hint="eastAsia" w:ascii="仿宋" w:hAnsi="仿宋" w:eastAsia="仿宋"/>
          <w:b w:val="0"/>
          <w:bCs w:val="0"/>
          <w:sz w:val="28"/>
          <w:szCs w:val="28"/>
        </w:rPr>
        <w:t>入决算表</w:t>
      </w:r>
      <w:bookmarkEnd w:id="60"/>
    </w:p>
    <w:p>
      <w:pPr>
        <w:pStyle w:val="3"/>
        <w:rPr>
          <w:rFonts w:ascii="仿宋" w:hAnsi="仿宋" w:eastAsia="仿宋"/>
          <w:color w:val="000000"/>
          <w:sz w:val="28"/>
          <w:szCs w:val="28"/>
        </w:rPr>
      </w:pPr>
      <w:bookmarkStart w:id="61" w:name="_Toc15396621"/>
      <w:r>
        <w:rPr>
          <w:rStyle w:val="25"/>
          <w:rFonts w:hint="eastAsia" w:ascii="仿宋" w:hAnsi="仿宋" w:eastAsia="仿宋"/>
          <w:b w:val="0"/>
          <w:bCs w:val="0"/>
          <w:sz w:val="28"/>
          <w:szCs w:val="28"/>
        </w:rPr>
        <w:t>三、</w:t>
      </w:r>
      <w:r>
        <w:rPr>
          <w:rFonts w:hint="eastAsia" w:ascii="仿宋" w:hAnsi="仿宋" w:eastAsia="仿宋"/>
          <w:b w:val="0"/>
          <w:color w:val="000000"/>
          <w:sz w:val="28"/>
          <w:szCs w:val="28"/>
        </w:rPr>
        <w:t>支</w:t>
      </w:r>
      <w:r>
        <w:rPr>
          <w:rStyle w:val="25"/>
          <w:rFonts w:hint="eastAsia" w:ascii="仿宋" w:hAnsi="仿宋" w:eastAsia="仿宋"/>
          <w:b w:val="0"/>
          <w:bCs w:val="0"/>
          <w:sz w:val="28"/>
          <w:szCs w:val="28"/>
        </w:rPr>
        <w:t>出决算表</w:t>
      </w:r>
      <w:bookmarkEnd w:id="61"/>
    </w:p>
    <w:p>
      <w:pPr>
        <w:pStyle w:val="3"/>
        <w:rPr>
          <w:rFonts w:ascii="仿宋" w:hAnsi="仿宋" w:eastAsia="仿宋"/>
          <w:b w:val="0"/>
          <w:color w:val="000000"/>
          <w:sz w:val="28"/>
          <w:szCs w:val="28"/>
        </w:rPr>
      </w:pPr>
      <w:bookmarkStart w:id="62" w:name="_Toc15396622"/>
      <w:r>
        <w:rPr>
          <w:rStyle w:val="25"/>
          <w:rFonts w:hint="eastAsia" w:ascii="仿宋" w:hAnsi="仿宋" w:eastAsia="仿宋"/>
          <w:b w:val="0"/>
          <w:bCs w:val="0"/>
          <w:sz w:val="28"/>
          <w:szCs w:val="28"/>
        </w:rPr>
        <w:t>四、</w:t>
      </w:r>
      <w:r>
        <w:rPr>
          <w:rFonts w:hint="eastAsia" w:ascii="仿宋" w:hAnsi="仿宋" w:eastAsia="仿宋"/>
          <w:b w:val="0"/>
          <w:color w:val="000000"/>
          <w:sz w:val="28"/>
          <w:szCs w:val="28"/>
        </w:rPr>
        <w:t>财</w:t>
      </w:r>
      <w:r>
        <w:rPr>
          <w:rStyle w:val="25"/>
          <w:rFonts w:hint="eastAsia" w:ascii="仿宋" w:hAnsi="仿宋" w:eastAsia="仿宋"/>
          <w:b w:val="0"/>
          <w:bCs w:val="0"/>
          <w:sz w:val="28"/>
          <w:szCs w:val="28"/>
        </w:rPr>
        <w:t>政拨款收入支出决算总表</w:t>
      </w:r>
      <w:bookmarkEnd w:id="62"/>
    </w:p>
    <w:p>
      <w:pPr>
        <w:pStyle w:val="3"/>
        <w:rPr>
          <w:rStyle w:val="25"/>
          <w:rFonts w:ascii="仿宋" w:hAnsi="仿宋" w:eastAsia="仿宋"/>
          <w:b w:val="0"/>
          <w:bCs w:val="0"/>
          <w:sz w:val="28"/>
          <w:szCs w:val="28"/>
        </w:rPr>
      </w:pPr>
      <w:bookmarkStart w:id="63" w:name="_Toc15396623"/>
      <w:r>
        <w:rPr>
          <w:rStyle w:val="25"/>
          <w:rFonts w:hint="eastAsia" w:ascii="仿宋" w:hAnsi="仿宋" w:eastAsia="仿宋"/>
          <w:b w:val="0"/>
          <w:bCs w:val="0"/>
          <w:sz w:val="28"/>
          <w:szCs w:val="28"/>
        </w:rPr>
        <w:t>五、</w:t>
      </w:r>
      <w:r>
        <w:rPr>
          <w:rFonts w:hint="eastAsia" w:ascii="仿宋" w:hAnsi="仿宋" w:eastAsia="仿宋"/>
          <w:b w:val="0"/>
          <w:color w:val="000000"/>
          <w:sz w:val="28"/>
          <w:szCs w:val="28"/>
        </w:rPr>
        <w:t>财</w:t>
      </w:r>
      <w:r>
        <w:rPr>
          <w:rStyle w:val="25"/>
          <w:rFonts w:hint="eastAsia" w:ascii="仿宋" w:hAnsi="仿宋" w:eastAsia="仿宋"/>
          <w:b w:val="0"/>
          <w:bCs w:val="0"/>
          <w:sz w:val="28"/>
          <w:szCs w:val="28"/>
        </w:rPr>
        <w:t>政拨款支出决算明细表</w:t>
      </w:r>
      <w:bookmarkEnd w:id="63"/>
      <w:bookmarkStart w:id="64" w:name="_Toc15396624"/>
    </w:p>
    <w:p>
      <w:pPr>
        <w:pStyle w:val="3"/>
        <w:rPr>
          <w:rFonts w:ascii="仿宋" w:hAnsi="仿宋" w:eastAsia="仿宋"/>
          <w:color w:val="000000"/>
          <w:sz w:val="28"/>
          <w:szCs w:val="28"/>
        </w:rPr>
      </w:pPr>
      <w:r>
        <w:rPr>
          <w:rStyle w:val="25"/>
          <w:rFonts w:hint="eastAsia" w:ascii="仿宋" w:hAnsi="仿宋" w:eastAsia="仿宋"/>
          <w:b w:val="0"/>
          <w:bCs w:val="0"/>
          <w:sz w:val="28"/>
          <w:szCs w:val="28"/>
        </w:rPr>
        <w:t>六、</w:t>
      </w:r>
      <w:r>
        <w:rPr>
          <w:rFonts w:hint="eastAsia" w:ascii="仿宋" w:hAnsi="仿宋" w:eastAsia="仿宋"/>
          <w:b w:val="0"/>
          <w:color w:val="000000"/>
          <w:sz w:val="28"/>
          <w:szCs w:val="28"/>
        </w:rPr>
        <w:t>一</w:t>
      </w:r>
      <w:r>
        <w:rPr>
          <w:rStyle w:val="25"/>
          <w:rFonts w:hint="eastAsia" w:ascii="仿宋" w:hAnsi="仿宋" w:eastAsia="仿宋"/>
          <w:b w:val="0"/>
          <w:bCs w:val="0"/>
          <w:sz w:val="28"/>
          <w:szCs w:val="28"/>
        </w:rPr>
        <w:t>般公共预算财政拨款支出决算表</w:t>
      </w:r>
      <w:bookmarkEnd w:id="64"/>
    </w:p>
    <w:p>
      <w:pPr>
        <w:pStyle w:val="3"/>
        <w:rPr>
          <w:rFonts w:ascii="仿宋" w:hAnsi="仿宋" w:eastAsia="仿宋"/>
          <w:color w:val="000000"/>
          <w:sz w:val="28"/>
          <w:szCs w:val="28"/>
        </w:rPr>
      </w:pPr>
      <w:bookmarkStart w:id="65" w:name="_Toc15396625"/>
      <w:r>
        <w:rPr>
          <w:rStyle w:val="25"/>
          <w:rFonts w:hint="eastAsia" w:ascii="仿宋" w:hAnsi="仿宋" w:eastAsia="仿宋"/>
          <w:b w:val="0"/>
          <w:bCs w:val="0"/>
          <w:sz w:val="28"/>
          <w:szCs w:val="28"/>
        </w:rPr>
        <w:t>七、</w:t>
      </w:r>
      <w:r>
        <w:rPr>
          <w:rFonts w:hint="eastAsia" w:ascii="仿宋" w:hAnsi="仿宋" w:eastAsia="仿宋"/>
          <w:b w:val="0"/>
          <w:color w:val="000000"/>
          <w:sz w:val="28"/>
          <w:szCs w:val="28"/>
        </w:rPr>
        <w:t>一</w:t>
      </w:r>
      <w:r>
        <w:rPr>
          <w:rStyle w:val="25"/>
          <w:rFonts w:hint="eastAsia" w:ascii="仿宋" w:hAnsi="仿宋" w:eastAsia="仿宋"/>
          <w:b w:val="0"/>
          <w:bCs w:val="0"/>
          <w:sz w:val="28"/>
          <w:szCs w:val="28"/>
        </w:rPr>
        <w:t>般公共预算财政拨款支出决算明细表</w:t>
      </w:r>
      <w:bookmarkEnd w:id="65"/>
    </w:p>
    <w:p>
      <w:pPr>
        <w:pStyle w:val="3"/>
        <w:rPr>
          <w:rFonts w:ascii="仿宋" w:hAnsi="仿宋" w:eastAsia="仿宋"/>
          <w:color w:val="000000"/>
          <w:sz w:val="28"/>
          <w:szCs w:val="28"/>
        </w:rPr>
      </w:pPr>
      <w:bookmarkStart w:id="66" w:name="_Toc15396626"/>
      <w:r>
        <w:rPr>
          <w:rStyle w:val="25"/>
          <w:rFonts w:hint="eastAsia" w:ascii="仿宋" w:hAnsi="仿宋" w:eastAsia="仿宋"/>
          <w:b w:val="0"/>
          <w:bCs w:val="0"/>
          <w:sz w:val="28"/>
          <w:szCs w:val="28"/>
        </w:rPr>
        <w:t>八、</w:t>
      </w:r>
      <w:r>
        <w:rPr>
          <w:rFonts w:hint="eastAsia" w:ascii="仿宋" w:hAnsi="仿宋" w:eastAsia="仿宋"/>
          <w:b w:val="0"/>
          <w:color w:val="000000"/>
          <w:sz w:val="28"/>
          <w:szCs w:val="28"/>
        </w:rPr>
        <w:t>一</w:t>
      </w:r>
      <w:r>
        <w:rPr>
          <w:rStyle w:val="25"/>
          <w:rFonts w:hint="eastAsia" w:ascii="仿宋" w:hAnsi="仿宋" w:eastAsia="仿宋"/>
          <w:b w:val="0"/>
          <w:bCs w:val="0"/>
          <w:sz w:val="28"/>
          <w:szCs w:val="28"/>
        </w:rPr>
        <w:t>般公共预算财政拨款基本支出决算表</w:t>
      </w:r>
      <w:bookmarkEnd w:id="66"/>
    </w:p>
    <w:p>
      <w:pPr>
        <w:pStyle w:val="3"/>
        <w:rPr>
          <w:rFonts w:ascii="仿宋" w:hAnsi="仿宋" w:eastAsia="仿宋"/>
          <w:color w:val="000000"/>
          <w:sz w:val="28"/>
          <w:szCs w:val="28"/>
        </w:rPr>
      </w:pPr>
      <w:bookmarkStart w:id="67" w:name="_Toc15396627"/>
      <w:r>
        <w:rPr>
          <w:rStyle w:val="25"/>
          <w:rFonts w:hint="eastAsia" w:ascii="仿宋" w:hAnsi="仿宋" w:eastAsia="仿宋"/>
          <w:b w:val="0"/>
          <w:bCs w:val="0"/>
          <w:sz w:val="28"/>
          <w:szCs w:val="28"/>
        </w:rPr>
        <w:t>九、</w:t>
      </w:r>
      <w:r>
        <w:rPr>
          <w:rFonts w:hint="eastAsia" w:ascii="仿宋" w:hAnsi="仿宋" w:eastAsia="仿宋"/>
          <w:b w:val="0"/>
          <w:color w:val="000000"/>
          <w:sz w:val="28"/>
          <w:szCs w:val="28"/>
        </w:rPr>
        <w:t>一</w:t>
      </w:r>
      <w:r>
        <w:rPr>
          <w:rStyle w:val="25"/>
          <w:rFonts w:hint="eastAsia" w:ascii="仿宋" w:hAnsi="仿宋" w:eastAsia="仿宋"/>
          <w:b w:val="0"/>
          <w:bCs w:val="0"/>
          <w:sz w:val="28"/>
          <w:szCs w:val="28"/>
        </w:rPr>
        <w:t>般公共预算财政拨款项目支出决算表</w:t>
      </w:r>
      <w:bookmarkEnd w:id="67"/>
    </w:p>
    <w:p>
      <w:pPr>
        <w:pStyle w:val="3"/>
        <w:rPr>
          <w:rFonts w:ascii="仿宋" w:hAnsi="仿宋" w:eastAsia="仿宋"/>
          <w:color w:val="000000"/>
          <w:sz w:val="28"/>
          <w:szCs w:val="28"/>
        </w:rPr>
      </w:pPr>
      <w:bookmarkStart w:id="68" w:name="_Toc15396628"/>
      <w:r>
        <w:rPr>
          <w:rStyle w:val="25"/>
          <w:rFonts w:hint="eastAsia" w:ascii="仿宋" w:hAnsi="仿宋" w:eastAsia="仿宋"/>
          <w:b w:val="0"/>
          <w:bCs w:val="0"/>
          <w:sz w:val="28"/>
          <w:szCs w:val="28"/>
        </w:rPr>
        <w:t>十、</w:t>
      </w:r>
      <w:r>
        <w:rPr>
          <w:rFonts w:hint="eastAsia" w:ascii="仿宋" w:hAnsi="仿宋" w:eastAsia="仿宋"/>
          <w:b w:val="0"/>
          <w:color w:val="000000"/>
          <w:sz w:val="28"/>
          <w:szCs w:val="28"/>
        </w:rPr>
        <w:t>一</w:t>
      </w:r>
      <w:r>
        <w:rPr>
          <w:rStyle w:val="25"/>
          <w:rFonts w:hint="eastAsia" w:ascii="仿宋" w:hAnsi="仿宋" w:eastAsia="仿宋"/>
          <w:b w:val="0"/>
          <w:bCs w:val="0"/>
          <w:sz w:val="28"/>
          <w:szCs w:val="28"/>
        </w:rPr>
        <w:t>般公共预算财政拨款“三公”经费支出决算表</w:t>
      </w:r>
      <w:bookmarkEnd w:id="68"/>
    </w:p>
    <w:p>
      <w:pPr>
        <w:pStyle w:val="3"/>
        <w:rPr>
          <w:rFonts w:ascii="仿宋" w:hAnsi="仿宋" w:eastAsia="仿宋"/>
          <w:color w:val="000000"/>
          <w:sz w:val="28"/>
          <w:szCs w:val="28"/>
        </w:rPr>
      </w:pPr>
      <w:bookmarkStart w:id="69" w:name="_Toc15396629"/>
      <w:r>
        <w:rPr>
          <w:rStyle w:val="25"/>
          <w:rFonts w:hint="eastAsia" w:ascii="仿宋" w:hAnsi="仿宋" w:eastAsia="仿宋"/>
          <w:b w:val="0"/>
          <w:bCs w:val="0"/>
          <w:sz w:val="28"/>
          <w:szCs w:val="28"/>
        </w:rPr>
        <w:t>十一、</w:t>
      </w:r>
      <w:r>
        <w:rPr>
          <w:rFonts w:hint="eastAsia" w:ascii="仿宋" w:hAnsi="仿宋" w:eastAsia="仿宋"/>
          <w:b w:val="0"/>
          <w:color w:val="000000"/>
          <w:sz w:val="28"/>
          <w:szCs w:val="28"/>
        </w:rPr>
        <w:t>政</w:t>
      </w:r>
      <w:r>
        <w:rPr>
          <w:rStyle w:val="25"/>
          <w:rFonts w:hint="eastAsia" w:ascii="仿宋" w:hAnsi="仿宋" w:eastAsia="仿宋"/>
          <w:b w:val="0"/>
          <w:bCs w:val="0"/>
          <w:sz w:val="28"/>
          <w:szCs w:val="28"/>
        </w:rPr>
        <w:t>府性基金预算财政拨款收入支出决算表</w:t>
      </w:r>
      <w:bookmarkEnd w:id="69"/>
    </w:p>
    <w:p>
      <w:pPr>
        <w:pStyle w:val="3"/>
        <w:rPr>
          <w:rFonts w:ascii="仿宋" w:hAnsi="仿宋" w:eastAsia="仿宋"/>
          <w:color w:val="000000"/>
          <w:sz w:val="28"/>
          <w:szCs w:val="28"/>
        </w:rPr>
      </w:pPr>
      <w:bookmarkStart w:id="70" w:name="_Toc15396630"/>
      <w:r>
        <w:rPr>
          <w:rStyle w:val="25"/>
          <w:rFonts w:hint="eastAsia" w:ascii="仿宋" w:hAnsi="仿宋" w:eastAsia="仿宋"/>
          <w:b w:val="0"/>
          <w:bCs w:val="0"/>
          <w:sz w:val="28"/>
          <w:szCs w:val="28"/>
        </w:rPr>
        <w:t>十二、</w:t>
      </w:r>
      <w:r>
        <w:rPr>
          <w:rFonts w:hint="eastAsia" w:ascii="仿宋" w:hAnsi="仿宋" w:eastAsia="仿宋"/>
          <w:b w:val="0"/>
          <w:color w:val="000000"/>
          <w:sz w:val="28"/>
          <w:szCs w:val="28"/>
        </w:rPr>
        <w:t>政</w:t>
      </w:r>
      <w:r>
        <w:rPr>
          <w:rStyle w:val="25"/>
          <w:rFonts w:hint="eastAsia" w:ascii="仿宋" w:hAnsi="仿宋" w:eastAsia="仿宋"/>
          <w:b w:val="0"/>
          <w:bCs w:val="0"/>
          <w:sz w:val="28"/>
          <w:szCs w:val="28"/>
        </w:rPr>
        <w:t>府性基金预算财政拨款“三公”经费支出决算表</w:t>
      </w:r>
      <w:bookmarkEnd w:id="70"/>
    </w:p>
    <w:p>
      <w:pPr>
        <w:pStyle w:val="3"/>
        <w:rPr>
          <w:rFonts w:ascii="仿宋" w:hAnsi="仿宋" w:eastAsia="仿宋"/>
          <w:color w:val="000000" w:themeColor="text1"/>
          <w:sz w:val="28"/>
          <w:szCs w:val="28"/>
        </w:rPr>
      </w:pPr>
      <w:bookmarkStart w:id="71" w:name="_Toc15396631"/>
      <w:r>
        <w:rPr>
          <w:rStyle w:val="25"/>
          <w:rFonts w:hint="eastAsia" w:ascii="仿宋" w:hAnsi="仿宋" w:eastAsia="仿宋"/>
          <w:b w:val="0"/>
          <w:bCs w:val="0"/>
          <w:sz w:val="28"/>
          <w:szCs w:val="28"/>
        </w:rPr>
        <w:t>十三、</w:t>
      </w:r>
      <w:r>
        <w:rPr>
          <w:rFonts w:hint="eastAsia" w:ascii="仿宋" w:hAnsi="仿宋" w:eastAsia="仿宋"/>
          <w:b w:val="0"/>
          <w:color w:val="000000"/>
          <w:sz w:val="28"/>
          <w:szCs w:val="28"/>
        </w:rPr>
        <w:t>国</w:t>
      </w:r>
      <w:r>
        <w:rPr>
          <w:rStyle w:val="25"/>
          <w:rFonts w:hint="eastAsia" w:ascii="仿宋" w:hAnsi="仿宋" w:eastAsia="仿宋"/>
          <w:b w:val="0"/>
          <w:bCs w:val="0"/>
          <w:sz w:val="28"/>
          <w:szCs w:val="28"/>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700D04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30">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收支总计</c:v>
                </c:pt>
              </c:strCache>
            </c:strRef>
          </c:tx>
          <c:invertIfNegative val="0"/>
          <c:dLbls>
            <c:delete val="1"/>
          </c:dLbls>
          <c:cat>
            <c:strRef>
              <c:f>Sheet1!$A$2:$A$5</c:f>
              <c:strCache>
                <c:ptCount val="2"/>
                <c:pt idx="0">
                  <c:v>2018年</c:v>
                </c:pt>
                <c:pt idx="1">
                  <c:v>2019年</c:v>
                </c:pt>
              </c:strCache>
            </c:strRef>
          </c:cat>
          <c:val>
            <c:numRef>
              <c:f>Sheet1!$B$2:$B$5</c:f>
              <c:numCache>
                <c:formatCode>General</c:formatCode>
                <c:ptCount val="4"/>
                <c:pt idx="0">
                  <c:v>277.5</c:v>
                </c:pt>
                <c:pt idx="1">
                  <c:v>322.33</c:v>
                </c:pt>
              </c:numCache>
            </c:numRef>
          </c:val>
        </c:ser>
        <c:dLbls>
          <c:showLegendKey val="0"/>
          <c:showVal val="0"/>
          <c:showCatName val="0"/>
          <c:showSerName val="0"/>
          <c:showPercent val="0"/>
          <c:showBubbleSize val="0"/>
        </c:dLbls>
        <c:gapWidth val="150"/>
        <c:overlap val="100"/>
        <c:axId val="167636992"/>
        <c:axId val="167638528"/>
      </c:barChart>
      <c:catAx>
        <c:axId val="1676369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638528"/>
        <c:crosses val="autoZero"/>
        <c:auto val="1"/>
        <c:lblAlgn val="ctr"/>
        <c:lblOffset val="100"/>
        <c:noMultiLvlLbl val="0"/>
      </c:catAx>
      <c:valAx>
        <c:axId val="1676385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636992"/>
        <c:crosses val="autoZero"/>
        <c:crossBetween val="between"/>
      </c:valAx>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altLang="en-US" sz="9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altLang="en-US" sz="8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c:v>
                </c:pt>
              </c:strCache>
            </c:strRef>
          </c:cat>
          <c:val>
            <c:numRef>
              <c:f>Sheet1!$B$2</c:f>
              <c:numCache>
                <c:formatCode>General</c:formatCode>
                <c:ptCount val="1"/>
                <c:pt idx="0">
                  <c:v>258.33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zh-CN" alt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支出情况</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206.38</c:v>
                </c:pt>
                <c:pt idx="1">
                  <c:v>101.43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收支总计</c:v>
                </c:pt>
              </c:strCache>
            </c:strRef>
          </c:tx>
          <c:invertIfNegative val="0"/>
          <c:dLbls>
            <c:delete val="1"/>
          </c:dLbls>
          <c:cat>
            <c:strRef>
              <c:f>Sheet1!$A$2:$A$5</c:f>
              <c:strCache>
                <c:ptCount val="2"/>
                <c:pt idx="0">
                  <c:v>2018年</c:v>
                </c:pt>
                <c:pt idx="1">
                  <c:v>2019年</c:v>
                </c:pt>
              </c:strCache>
            </c:strRef>
          </c:cat>
          <c:val>
            <c:numRef>
              <c:f>Sheet1!$B$2:$B$5</c:f>
              <c:numCache>
                <c:formatCode>General</c:formatCode>
                <c:ptCount val="4"/>
                <c:pt idx="0">
                  <c:v>277.5</c:v>
                </c:pt>
                <c:pt idx="1">
                  <c:v>322.33</c:v>
                </c:pt>
              </c:numCache>
            </c:numRef>
          </c:val>
        </c:ser>
        <c:dLbls>
          <c:showLegendKey val="0"/>
          <c:showVal val="0"/>
          <c:showCatName val="0"/>
          <c:showSerName val="0"/>
          <c:showPercent val="0"/>
          <c:showBubbleSize val="0"/>
        </c:dLbls>
        <c:gapWidth val="150"/>
        <c:overlap val="100"/>
        <c:axId val="167654144"/>
        <c:axId val="167655680"/>
      </c:barChart>
      <c:catAx>
        <c:axId val="1676541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655680"/>
        <c:crosses val="autoZero"/>
        <c:auto val="1"/>
        <c:lblAlgn val="ctr"/>
        <c:lblOffset val="100"/>
        <c:noMultiLvlLbl val="0"/>
      </c:catAx>
      <c:valAx>
        <c:axId val="1676556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654144"/>
        <c:crosses val="autoZero"/>
        <c:crossBetween val="between"/>
      </c:valAx>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257.8</c:v>
                </c:pt>
                <c:pt idx="1">
                  <c:v>307.71</c:v>
                </c:pt>
              </c:numCache>
            </c:numRef>
          </c:val>
        </c:ser>
        <c:dLbls>
          <c:showLegendKey val="0"/>
          <c:showVal val="0"/>
          <c:showCatName val="0"/>
          <c:showSerName val="0"/>
          <c:showPercent val="0"/>
          <c:showBubbleSize val="0"/>
        </c:dLbls>
        <c:gapWidth val="150"/>
        <c:overlap val="100"/>
        <c:axId val="167802752"/>
        <c:axId val="167804288"/>
      </c:barChart>
      <c:catAx>
        <c:axId val="1678027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804288"/>
        <c:crosses val="autoZero"/>
        <c:auto val="1"/>
        <c:lblAlgn val="ctr"/>
        <c:lblOffset val="100"/>
        <c:noMultiLvlLbl val="0"/>
      </c:catAx>
      <c:valAx>
        <c:axId val="16780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802752"/>
        <c:crosses val="autoZero"/>
        <c:crossBetween val="between"/>
      </c:valAx>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altLang="en-US" sz="9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altLang="en-US"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c:v>
                </c:pt>
                <c:pt idx="1">
                  <c:v>卫生健康</c:v>
                </c:pt>
                <c:pt idx="2">
                  <c:v>节能环保</c:v>
                </c:pt>
                <c:pt idx="3">
                  <c:v>住房保障</c:v>
                </c:pt>
              </c:strCache>
            </c:strRef>
          </c:cat>
          <c:val>
            <c:numRef>
              <c:f>Sheet1!$B$2:$B$5</c:f>
              <c:numCache>
                <c:formatCode>General</c:formatCode>
                <c:ptCount val="4"/>
                <c:pt idx="0">
                  <c:v>15.56</c:v>
                </c:pt>
                <c:pt idx="1">
                  <c:v>9.17</c:v>
                </c:pt>
                <c:pt idx="2">
                  <c:v>262.16</c:v>
                </c:pt>
                <c:pt idx="3">
                  <c:v>20.82</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altLang="en-US"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lt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9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0.380000000000001</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397C2-9E6D-47AC-9675-FDE3AEF4731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1381</Words>
  <Characters>7875</Characters>
  <Lines>65</Lines>
  <Paragraphs>18</Paragraphs>
  <TotalTime>1110</TotalTime>
  <ScaleCrop>false</ScaleCrop>
  <LinksUpToDate>false</LinksUpToDate>
  <CharactersWithSpaces>9238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刘晓婷</cp:lastModifiedBy>
  <cp:lastPrinted>2020-10-22T03:06:00Z</cp:lastPrinted>
  <dcterms:modified xsi:type="dcterms:W3CDTF">2021-06-07T09:36:21Z</dcterms:modified>
  <dc:title>四川省***</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EEC32084552049D89758193D77076BA7</vt:lpwstr>
  </property>
</Properties>
</file>