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476"/>
      <w:bookmarkStart w:id="7" w:name="_Toc15377194"/>
      <w:bookmarkStart w:id="8" w:name="_Toc15396598"/>
      <w:bookmarkStart w:id="9" w:name="_Toc15378442"/>
      <w:bookmarkStart w:id="10" w:name="_Toc15377426"/>
      <w:bookmarkStart w:id="11" w:name="_Toc15306268"/>
      <w:r>
        <w:rPr>
          <w:rFonts w:hint="eastAsia" w:ascii="方正小标宋简体" w:hAnsi="宋体" w:eastAsia="方正小标宋简体"/>
          <w:color w:val="000000"/>
          <w:sz w:val="72"/>
          <w:szCs w:val="72"/>
        </w:rPr>
        <w:t>攀枝花市仁和区档案馆</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公开时间：2020年10月29日</w:t>
      </w:r>
    </w:p>
    <w:p>
      <w:pPr>
        <w:rPr>
          <w:rFonts w:hint="eastAsia" w:ascii="Times New Roman" w:hAnsi="Times New Roman" w:eastAsia="仿宋_GB2312" w:cs="Times New Roman"/>
          <w:bCs/>
          <w:kern w:val="0"/>
          <w:sz w:val="32"/>
          <w:szCs w:val="32"/>
          <w:lang w:val="en-US" w:eastAsia="zh-CN" w:bidi="ar-SA"/>
        </w:rPr>
      </w:pP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第一部分 部门概况..................................................................1</w:t>
      </w:r>
    </w:p>
    <w:p>
      <w:pPr>
        <w:pStyle w:val="10"/>
        <w:adjustRightInd w:val="0"/>
        <w:snapToGrid w:val="0"/>
        <w:spacing w:before="0" w:line="440" w:lineRule="exact"/>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一、基本职能及主要工作........................................................1</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二、机构设置............................................................................4</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第二部分度部门决算情况说明................................................5</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一、收入支出决算总体情况说明............................................5</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二、收入决算情况说明............................................................5</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三、支出决算情况说明............................................................5</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四、财政拨款收入支出决算总体情况说明............................5</w:t>
      </w:r>
    </w:p>
    <w:p>
      <w:pPr>
        <w:pStyle w:val="10"/>
        <w:adjustRightInd w:val="0"/>
        <w:snapToGrid w:val="0"/>
        <w:spacing w:before="0" w:line="440" w:lineRule="exact"/>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五、一般公共预算财政拨款支出决算情况说明....................6</w:t>
      </w:r>
    </w:p>
    <w:p>
      <w:pPr>
        <w:pStyle w:val="10"/>
        <w:adjustRightInd w:val="0"/>
        <w:snapToGrid w:val="0"/>
        <w:spacing w:before="0" w:line="440" w:lineRule="exact"/>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六、一般公共预算财政拨款基本支出决算情况说明............7</w:t>
      </w:r>
    </w:p>
    <w:p>
      <w:pPr>
        <w:pStyle w:val="10"/>
        <w:adjustRightInd w:val="0"/>
        <w:snapToGrid w:val="0"/>
        <w:spacing w:before="0" w:line="440" w:lineRule="exact"/>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七、“三公”经费财政拨款支出决算情况说明....................8</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八、政府性基金预算支出决算情况说明................................8</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九、 国有资本经营预算支出决算情况说明..........................8</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十、其他重要事项的情况说明................................................9</w:t>
      </w:r>
    </w:p>
    <w:p>
      <w:pPr>
        <w:pStyle w:val="10"/>
        <w:adjustRightInd w:val="0"/>
        <w:snapToGrid w:val="0"/>
        <w:spacing w:before="0" w:line="440" w:lineRule="exact"/>
        <w:ind w:firstLine="640" w:firstLineChars="200"/>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项目绩效完成情况表.......................................................10</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第三部分 名词解释.................................................................16</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第四部分 附件.........................................................................18</w:t>
      </w:r>
    </w:p>
    <w:p>
      <w:pPr>
        <w:pageBreakBefore w:val="0"/>
        <w:kinsoku/>
        <w:wordWrap/>
        <w:overflowPunct/>
        <w:topLinePunct w:val="0"/>
        <w:bidi w:val="0"/>
        <w:spacing w:line="560" w:lineRule="exact"/>
        <w:jc w:val="both"/>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附件</w:t>
      </w:r>
      <w:r>
        <w:rPr>
          <w:rFonts w:hint="eastAsia" w:ascii="Times New Roman" w:hAnsi="Times New Roman" w:eastAsia="仿宋_GB2312" w:cs="Times New Roman"/>
          <w:bCs/>
          <w:kern w:val="0"/>
          <w:sz w:val="32"/>
          <w:szCs w:val="32"/>
          <w:lang w:val="en-US" w:eastAsia="zh-CN" w:bidi="ar-SA"/>
        </w:rPr>
        <w:t>1：2019年部门</w:t>
      </w:r>
      <w:r>
        <w:rPr>
          <w:rFonts w:hint="eastAsia" w:ascii="Times New Roman" w:hAnsi="Times New Roman" w:eastAsia="仿宋_GB2312" w:cs="Times New Roman"/>
          <w:bCs/>
          <w:kern w:val="0"/>
          <w:sz w:val="32"/>
          <w:szCs w:val="32"/>
          <w:lang w:val="zh-CN" w:eastAsia="zh-CN" w:bidi="ar-SA"/>
        </w:rPr>
        <w:t>整体支出绩效评价报告</w:t>
      </w:r>
      <w:r>
        <w:rPr>
          <w:rFonts w:hint="eastAsia" w:ascii="Times New Roman" w:hAnsi="Times New Roman" w:eastAsia="仿宋_GB2312" w:cs="Times New Roman"/>
          <w:bCs/>
          <w:kern w:val="0"/>
          <w:sz w:val="32"/>
          <w:szCs w:val="32"/>
          <w:lang w:val="en-US" w:eastAsia="zh-CN" w:bidi="ar-SA"/>
        </w:rPr>
        <w:t>........</w:t>
      </w:r>
      <w:r>
        <w:rPr>
          <w:rFonts w:hint="eastAsia"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............1</w:t>
      </w:r>
      <w:r>
        <w:rPr>
          <w:rFonts w:hint="eastAsia" w:eastAsia="仿宋_GB2312" w:cs="Times New Roman"/>
          <w:bCs/>
          <w:kern w:val="0"/>
          <w:sz w:val="32"/>
          <w:szCs w:val="32"/>
          <w:lang w:val="en-US" w:eastAsia="zh-CN" w:bidi="ar-SA"/>
        </w:rPr>
        <w:t>8</w:t>
      </w:r>
    </w:p>
    <w:p>
      <w:pPr>
        <w:pageBreakBefore w:val="0"/>
        <w:kinsoku/>
        <w:wordWrap/>
        <w:overflowPunct/>
        <w:topLinePunct w:val="0"/>
        <w:bidi w:val="0"/>
        <w:spacing w:line="560" w:lineRule="exact"/>
        <w:jc w:val="both"/>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附件2：数字化档案馆建设</w:t>
      </w:r>
      <w:r>
        <w:rPr>
          <w:rFonts w:hint="eastAsia" w:ascii="Times New Roman" w:hAnsi="Times New Roman" w:eastAsia="仿宋_GB2312" w:cs="Times New Roman"/>
          <w:bCs/>
          <w:kern w:val="0"/>
          <w:sz w:val="32"/>
          <w:szCs w:val="32"/>
          <w:lang w:val="zh-CN" w:eastAsia="zh-CN" w:bidi="ar-SA"/>
        </w:rPr>
        <w:t>项目</w:t>
      </w:r>
      <w:r>
        <w:rPr>
          <w:rFonts w:hint="eastAsia" w:ascii="Times New Roman" w:hAnsi="Times New Roman" w:eastAsia="仿宋_GB2312" w:cs="Times New Roman"/>
          <w:bCs/>
          <w:kern w:val="0"/>
          <w:sz w:val="32"/>
          <w:szCs w:val="32"/>
          <w:lang w:val="en-US" w:eastAsia="zh-CN" w:bidi="ar-SA"/>
        </w:rPr>
        <w:t>2019年</w:t>
      </w:r>
      <w:r>
        <w:rPr>
          <w:rFonts w:hint="eastAsia" w:ascii="Times New Roman" w:hAnsi="Times New Roman" w:eastAsia="仿宋_GB2312" w:cs="Times New Roman"/>
          <w:bCs/>
          <w:kern w:val="0"/>
          <w:sz w:val="32"/>
          <w:szCs w:val="32"/>
          <w:lang w:val="zh-CN" w:eastAsia="zh-CN" w:bidi="ar-SA"/>
        </w:rPr>
        <w:t>绩效评价报告</w:t>
      </w:r>
      <w:r>
        <w:rPr>
          <w:rFonts w:hint="eastAsia"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.22</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第五部分 附表（具体内容见附件）.....................</w:t>
      </w:r>
      <w:bookmarkStart w:id="73" w:name="_GoBack"/>
      <w:bookmarkEnd w:id="73"/>
      <w:r>
        <w:rPr>
          <w:rFonts w:hint="eastAsia" w:ascii="Times New Roman" w:hAnsi="Times New Roman" w:eastAsia="仿宋_GB2312" w:cs="Times New Roman"/>
          <w:bCs/>
          <w:kern w:val="0"/>
          <w:sz w:val="32"/>
          <w:szCs w:val="32"/>
          <w:lang w:val="en-US" w:eastAsia="zh-CN" w:bidi="ar-SA"/>
        </w:rPr>
        <w:t>................25</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一、收入支出决算总表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二、收入决算表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三、支出决算表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四、财政拨款收入支出决算总表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五、财政拨款支出决算明细表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六、一般公共预算财政拨款支出决算表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七、一般公共预算财政拨款支出决算明细表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八、一般公共预算财政拨款基本支出决算表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九、一般公共预算财政拨款项目支出决算表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十、一般公共预算财政拨款“三公”经费支出决算表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十一、政府性基金预算财政拨款收入支出决算表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十二、政府性基金预算财政拨款“三公”经费支出决算表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十三、国有资本经营预算支出决算表</w:t>
      </w:r>
    </w:p>
    <w:p>
      <w:pPr>
        <w:pStyle w:val="10"/>
        <w:adjustRightInd w:val="0"/>
        <w:snapToGrid w:val="0"/>
        <w:spacing w:before="0" w:line="440" w:lineRule="exact"/>
        <w:jc w:val="left"/>
        <w:rPr>
          <w:rFonts w:hint="eastAsia" w:ascii="Times New Roman" w:hAnsi="Times New Roman" w:eastAsia="仿宋_GB2312" w:cs="Times New Roman"/>
          <w:bCs/>
          <w:kern w:val="0"/>
          <w:sz w:val="32"/>
          <w:szCs w:val="32"/>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2" w:name="_Toc15396599"/>
      <w:bookmarkStart w:id="13" w:name="_Toc15377196"/>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pageBreakBefore w:val="0"/>
        <w:kinsoku/>
        <w:wordWrap/>
        <w:overflowPunct/>
        <w:topLinePunct w:val="0"/>
        <w:bidi w:val="0"/>
        <w:spacing w:line="560" w:lineRule="exact"/>
        <w:ind w:firstLine="640" w:firstLineChars="200"/>
        <w:textAlignment w:val="auto"/>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pageBreakBefore w:val="0"/>
        <w:kinsoku/>
        <w:wordWrap/>
        <w:overflowPunct/>
        <w:topLinePunct w:val="0"/>
        <w:bidi w:val="0"/>
        <w:adjustRightInd w:val="0"/>
        <w:snapToGrid w:val="0"/>
        <w:spacing w:before="93" w:line="560" w:lineRule="exact"/>
        <w:ind w:firstLine="672" w:firstLineChars="210"/>
        <w:textAlignment w:val="auto"/>
        <w:rPr>
          <w:rFonts w:ascii="Times New Roman"/>
          <w:bCs/>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Times New Roman"/>
          <w:bCs/>
          <w:sz w:val="32"/>
          <w:szCs w:val="32"/>
        </w:rPr>
        <w:t>负责接收、征集、管理档案，有效的保护和利用档案。</w:t>
      </w:r>
    </w:p>
    <w:p>
      <w:pPr>
        <w:pageBreakBefore w:val="0"/>
        <w:kinsoku/>
        <w:wordWrap/>
        <w:overflowPunct/>
        <w:topLinePunct w:val="0"/>
        <w:bidi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ageBreakBefore w:val="0"/>
        <w:numPr>
          <w:ilvl w:val="0"/>
          <w:numId w:val="1"/>
        </w:numPr>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扎实开展脱贫攻坚、“双报到”、结对共建工作。一是组织干部职工到社区做好“双报到”登记和文明劝导、卫生清扫等志愿活动，共开展志愿活动20人次。二是与大龙潭乡混撒拉社区总支委员会签订2019年城乡党组织结对共建协议,并在乡村产业发展、后备干部培养方面积极配合混撒拉村开展工作；与共建单位开展 “迎七一，促和谐”主题党日活动。三是积极配合大龙潭乡政府完成脱贫攻坚“大走访”、“大排查”工作、核实信息、图片采集上传等工作，全馆干部职工联系的12户贫困户在脱贫的基础上得到巩固和提升，无返贫现象。同时组织干部职工积极参与援藏凉山州木里县“以购代捐”活动和全国扶贫日献爱心活动，共购买农产品2125</w:t>
      </w:r>
      <w:r>
        <w:rPr>
          <w:rFonts w:hint="eastAsia" w:ascii="仿宋_GB2312" w:eastAsia="仿宋_GB2312"/>
          <w:sz w:val="32"/>
          <w:szCs w:val="32"/>
          <w:lang w:val="en-US" w:eastAsia="zh-CN"/>
        </w:rPr>
        <w:t>.00</w:t>
      </w:r>
      <w:r>
        <w:rPr>
          <w:rFonts w:hint="eastAsia" w:ascii="仿宋_GB2312" w:eastAsia="仿宋_GB2312"/>
          <w:sz w:val="32"/>
          <w:szCs w:val="32"/>
        </w:rPr>
        <w:t>元、捐款400</w:t>
      </w:r>
      <w:r>
        <w:rPr>
          <w:rFonts w:hint="eastAsia" w:ascii="仿宋_GB2312" w:eastAsia="仿宋_GB2312"/>
          <w:sz w:val="32"/>
          <w:szCs w:val="32"/>
          <w:lang w:val="en-US" w:eastAsia="zh-CN"/>
        </w:rPr>
        <w:t>.00</w:t>
      </w:r>
      <w:r>
        <w:rPr>
          <w:rFonts w:hint="eastAsia" w:ascii="仿宋_GB2312" w:eastAsia="仿宋_GB2312"/>
          <w:sz w:val="32"/>
          <w:szCs w:val="32"/>
        </w:rPr>
        <w:t>元。</w:t>
      </w:r>
    </w:p>
    <w:p>
      <w:pPr>
        <w:pageBreakBefore w:val="0"/>
        <w:numPr>
          <w:ilvl w:val="0"/>
          <w:numId w:val="0"/>
        </w:numPr>
        <w:kinsoku/>
        <w:wordWrap/>
        <w:overflowPunct/>
        <w:topLinePunct w:val="0"/>
        <w:bidi w:val="0"/>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仿宋_GB2312" w:eastAsia="仿宋_GB2312"/>
          <w:sz w:val="32"/>
          <w:szCs w:val="32"/>
          <w:lang w:val="en-US" w:eastAsia="zh-CN"/>
        </w:rPr>
        <w:t>2、</w:t>
      </w:r>
      <w:r>
        <w:rPr>
          <w:rFonts w:hint="eastAsia" w:ascii="仿宋_GB2312" w:eastAsia="仿宋_GB2312"/>
          <w:sz w:val="32"/>
          <w:szCs w:val="32"/>
        </w:rPr>
        <w:t>全力推进综合档案馆建设项目。积极与仁和镇党委、政府领导沟通、协调解决档案馆建设用地农户房屋拆迁工作，在区领导的督促、协调和仁和镇党委、政府的重视和支持下，于2019年7月21日完成了档案馆建设用地的拆迁工作。档案馆建设项目于2019年7月25日开工建设；协调区供电局完成了档案馆建设永久供电施工合同的签订，解决了档案馆的用电问题。切实履行业主职责，定期不定期深入工地进行检查，坚持每月召集代建、施工、监理等单位召开工作例会制度，及时解决档案馆建设项目过程中遇到的问题。主动向区委、区政府汇报解决了档案馆建设工程费用资金缺口问题。</w:t>
      </w:r>
    </w:p>
    <w:p>
      <w:pPr>
        <w:pageBreakBefore w:val="0"/>
        <w:kinsoku/>
        <w:wordWrap/>
        <w:overflowPunct/>
        <w:topLinePunct w:val="0"/>
        <w:bidi w:val="0"/>
        <w:spacing w:line="560" w:lineRule="exact"/>
        <w:ind w:firstLine="320" w:firstLineChars="10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3</w:t>
      </w:r>
      <w:r>
        <w:rPr>
          <w:rFonts w:hint="eastAsia" w:ascii="仿宋_GB2312" w:eastAsia="仿宋_GB2312"/>
          <w:sz w:val="32"/>
          <w:szCs w:val="32"/>
        </w:rPr>
        <w:t>、顺利完成机构改革工作。一是按照区委机构改革实施方案，完成区档案局、馆的机构改革工作，确保改革期间档案工作正常有序开展。二是主动做好我区机构改革档案处置工作，指导涉改单位做好档案移交、规范整理、安全保管工作。未发生因机构改革档案损毁、丢失、失泄密事件，为机构改革工作任务的顺利完成提供了坚强的保障。</w:t>
      </w:r>
    </w:p>
    <w:p>
      <w:pPr>
        <w:pageBreakBefore w:val="0"/>
        <w:kinsoku/>
        <w:wordWrap/>
        <w:overflowPunct/>
        <w:topLinePunct w:val="0"/>
        <w:bidi w:val="0"/>
        <w:spacing w:line="560" w:lineRule="exact"/>
        <w:ind w:firstLine="320" w:firstLineChars="1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4</w:t>
      </w:r>
      <w:r>
        <w:rPr>
          <w:rFonts w:hint="eastAsia" w:ascii="仿宋_GB2312" w:eastAsia="仿宋_GB2312"/>
          <w:sz w:val="32"/>
          <w:szCs w:val="32"/>
        </w:rPr>
        <w:t>、强化档案队伍建设，全力推进依法治档。一是</w:t>
      </w:r>
      <w:r>
        <w:rPr>
          <w:rFonts w:hint="eastAsia" w:ascii="仿宋_GB2312" w:eastAsia="仿宋_GB2312"/>
          <w:spacing w:val="-4"/>
          <w:sz w:val="32"/>
          <w:szCs w:val="32"/>
          <w:shd w:val="clear" w:color="auto" w:fill="FFFFFF"/>
        </w:rPr>
        <w:t>采取多种形式向社会各界人士宣传档案法律法规，</w:t>
      </w:r>
      <w:r>
        <w:rPr>
          <w:rFonts w:hint="eastAsia" w:ascii="仿宋_GB2312" w:eastAsia="仿宋_GB2312"/>
          <w:sz w:val="32"/>
          <w:szCs w:val="32"/>
        </w:rPr>
        <w:t>发放《仁和区档案“七五”普法读本》200余册，</w:t>
      </w:r>
      <w:r>
        <w:rPr>
          <w:rFonts w:hint="eastAsia" w:ascii="仿宋_GB2312" w:eastAsia="仿宋_GB2312"/>
          <w:spacing w:val="-4"/>
          <w:sz w:val="32"/>
          <w:szCs w:val="32"/>
          <w:shd w:val="clear" w:color="auto" w:fill="FFFFFF"/>
        </w:rPr>
        <w:t>不断增强档案法制观念和法制意识</w:t>
      </w:r>
      <w:r>
        <w:rPr>
          <w:rFonts w:hint="eastAsia" w:ascii="仿宋_GB2312" w:eastAsia="仿宋_GB2312"/>
          <w:sz w:val="32"/>
          <w:szCs w:val="32"/>
        </w:rPr>
        <w:t>。二是对24个单位进行档案行政执法检查，通过执法检查，及时发现了存在的问题，提出了整改要求，并督促进行整改。三是对278人进行档案继续教育培训及档案专题培训</w:t>
      </w:r>
      <w:r>
        <w:rPr>
          <w:rFonts w:hint="eastAsia" w:ascii="仿宋_GB2312" w:hAnsi="Arial" w:eastAsia="仿宋_GB2312" w:cs="Arial"/>
          <w:color w:val="333333"/>
          <w:sz w:val="32"/>
          <w:szCs w:val="32"/>
        </w:rPr>
        <w:t>。</w:t>
      </w:r>
      <w:r>
        <w:rPr>
          <w:rFonts w:hint="eastAsia" w:ascii="仿宋_GB2312" w:hAnsi="宋体" w:eastAsia="仿宋_GB2312" w:cs="宋体"/>
          <w:sz w:val="32"/>
          <w:szCs w:val="32"/>
        </w:rPr>
        <w:t>四是认真贯彻《四川省档案工作规范化管理办法》，完成</w:t>
      </w:r>
      <w:r>
        <w:rPr>
          <w:rFonts w:hint="eastAsia" w:ascii="仿宋_GB2312" w:eastAsia="仿宋_GB2312"/>
          <w:sz w:val="32"/>
          <w:szCs w:val="32"/>
        </w:rPr>
        <w:t>档案工作规范重新认定3个。</w:t>
      </w:r>
    </w:p>
    <w:p>
      <w:pPr>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围绕中心，为全区重大项目、重点工作和重大活动的顺利推进提供档案服务。一是积极配合牵头单位深入相关乡镇和部门对乌东德水电站、梅子箐水库改扩建、普达阳光康养、成昆铁路复线火车南站等重大项目移民、征地拆迁、项目建设等档案进行监督指导和验收，为重大项目的顺利推进提供档案保障。二是积极配合牵头部门深入乡镇、区级相关部门对脱贫攻坚、农村人居环境整治、农村危房改造、农村产权制度改革及创建省级食品示范区、民族团结示范区、扫黑除恶等重点工作档案整理进行指导、培训、检查和验收，为我区重点工作通过上级部门检查和考核验收提供档案支持。三是主动与牵头单位联系，加强对“不忘初心、牢记使命”主题教育、庆祝新中国成立70周年向祖国报告成就展、“这里仁和.遇见星空”等重大活动档案资料的指导，并及时接收重大活动档案资料进馆。</w:t>
      </w:r>
    </w:p>
    <w:p>
      <w:pPr>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全心全意，为群众提供优质档案查询利用服务工作</w:t>
      </w:r>
      <w:r>
        <w:rPr>
          <w:rFonts w:hint="eastAsia" w:ascii="仿宋_GB2312" w:eastAsia="仿宋_GB2312"/>
          <w:sz w:val="32"/>
          <w:szCs w:val="32"/>
          <w:lang w:eastAsia="zh-CN"/>
        </w:rPr>
        <w:t>。</w:t>
      </w:r>
      <w:r>
        <w:rPr>
          <w:rFonts w:hint="eastAsia" w:ascii="仿宋_GB2312" w:eastAsia="仿宋_GB2312"/>
          <w:sz w:val="32"/>
          <w:szCs w:val="32"/>
          <w:lang w:val="en-US" w:eastAsia="zh-CN"/>
        </w:rPr>
        <w:t>全年</w:t>
      </w:r>
      <w:r>
        <w:rPr>
          <w:rFonts w:hint="eastAsia" w:ascii="仿宋_GB2312" w:eastAsia="仿宋_GB2312"/>
          <w:sz w:val="32"/>
          <w:szCs w:val="32"/>
        </w:rPr>
        <w:t>共提供利用档案</w:t>
      </w:r>
      <w:r>
        <w:rPr>
          <w:rFonts w:hint="eastAsia" w:ascii="仿宋_GB2312" w:eastAsia="仿宋_GB2312"/>
          <w:sz w:val="32"/>
          <w:szCs w:val="32"/>
          <w:lang w:val="en-US" w:eastAsia="zh-CN"/>
        </w:rPr>
        <w:t>4185</w:t>
      </w:r>
      <w:r>
        <w:rPr>
          <w:rFonts w:hint="eastAsia" w:ascii="仿宋_GB2312" w:eastAsia="仿宋_GB2312"/>
          <w:sz w:val="32"/>
          <w:szCs w:val="32"/>
        </w:rPr>
        <w:t>人次、</w:t>
      </w:r>
      <w:r>
        <w:rPr>
          <w:rFonts w:hint="eastAsia" w:ascii="仿宋_GB2312" w:eastAsia="仿宋_GB2312"/>
          <w:sz w:val="32"/>
          <w:szCs w:val="32"/>
          <w:lang w:val="en-US" w:eastAsia="zh-CN"/>
        </w:rPr>
        <w:t>5485</w:t>
      </w:r>
      <w:r>
        <w:rPr>
          <w:rFonts w:hint="eastAsia" w:ascii="仿宋_GB2312" w:eastAsia="仿宋_GB2312"/>
          <w:sz w:val="32"/>
          <w:szCs w:val="32"/>
        </w:rPr>
        <w:t>卷次，复印档案</w:t>
      </w:r>
      <w:r>
        <w:rPr>
          <w:rFonts w:hint="eastAsia" w:ascii="仿宋_GB2312" w:eastAsia="仿宋_GB2312"/>
          <w:sz w:val="32"/>
          <w:szCs w:val="32"/>
          <w:lang w:val="en-US" w:eastAsia="zh-CN"/>
        </w:rPr>
        <w:t>2.2</w:t>
      </w:r>
      <w:r>
        <w:rPr>
          <w:rFonts w:hint="eastAsia" w:ascii="仿宋_GB2312" w:eastAsia="仿宋_GB2312"/>
          <w:sz w:val="32"/>
          <w:szCs w:val="32"/>
        </w:rPr>
        <w:t>万余页。一是为干部职工提供服务。为干部选拔任用、工作调动、离（退）休、完善人事档案等工作提供原始的凭证依据。二是为脱贫攻坚提供服务。向我区贫困户提供利用婚姻档案、计生档案，为贫困户产业发展、贷款、子女入学提供凭证依据；三是为重点项目提供服务。利用土地承包合同、失地农民安置公证档案，为我区重点项目征地拆迁工作提供服务；四是为外地群众提供服务。继续推行省内异地查档跨馆服务。</w:t>
      </w:r>
    </w:p>
    <w:p>
      <w:pPr>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稳步推进馆藏档案全文数字化工作。完成16个全宗30.7万页8.61万条档案全文数字化工作。同时，对15个全宗4908卷1.08万件29.65万条档案全文数字化的数据进行了检查。</w:t>
      </w:r>
    </w:p>
    <w:p>
      <w:pPr>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全面强化档案安全管理机制。一是定期检查档案全文数字化加工场所及设备，确保加工场所设备齐全，制度完善，整洁干净，加工过程规范。二是档案馆库房安全检查常态化。坚持每日、每周、每月常规检查与定期检查的库房检查制度，认真清理库房卫生、电路，及时清除安全隐患，全年档案馆未发生档案安全事故。</w:t>
      </w:r>
    </w:p>
    <w:p>
      <w:pPr>
        <w:pStyle w:val="3"/>
        <w:pageBreakBefore w:val="0"/>
        <w:kinsoku/>
        <w:wordWrap/>
        <w:overflowPunct/>
        <w:topLinePunct w:val="0"/>
        <w:bidi w:val="0"/>
        <w:spacing w:line="560" w:lineRule="exact"/>
        <w:ind w:firstLine="640" w:firstLineChars="200"/>
        <w:textAlignment w:val="auto"/>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pageBreakBefore w:val="0"/>
        <w:kinsoku/>
        <w:wordWrap/>
        <w:overflowPunct/>
        <w:topLinePunct w:val="0"/>
        <w:bidi w:val="0"/>
        <w:adjustRightInd w:val="0"/>
        <w:snapToGrid w:val="0"/>
        <w:spacing w:before="93" w:line="560" w:lineRule="exact"/>
        <w:ind w:firstLine="672" w:firstLineChars="210"/>
        <w:textAlignment w:val="auto"/>
        <w:rPr>
          <w:rFonts w:hAnsi="仿宋_GB2312" w:cs="仿宋_GB2312"/>
          <w:sz w:val="32"/>
          <w:szCs w:val="32"/>
        </w:rPr>
      </w:pPr>
      <w:r>
        <w:rPr>
          <w:rFonts w:hint="eastAsia" w:hAnsi="仿宋_GB2312" w:cs="仿宋_GB2312"/>
          <w:sz w:val="32"/>
          <w:szCs w:val="32"/>
        </w:rPr>
        <w:t>仁和区档案馆是参照公务员法管理的事业单位。人员编制7人、实有在职人数6人、退休人数4人；车改后无公务用车。</w:t>
      </w:r>
    </w:p>
    <w:p>
      <w:pPr>
        <w:pageBreakBefore w:val="0"/>
        <w:widowControl/>
        <w:kinsoku/>
        <w:wordWrap/>
        <w:overflowPunct/>
        <w:topLinePunct w:val="0"/>
        <w:bidi w:val="0"/>
        <w:spacing w:line="560" w:lineRule="exact"/>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2"/>
        <w:pageBreakBefore w:val="0"/>
        <w:kinsoku/>
        <w:wordWrap/>
        <w:overflowPunct/>
        <w:topLinePunct w:val="0"/>
        <w:bidi w:val="0"/>
        <w:spacing w:line="560" w:lineRule="exact"/>
        <w:ind w:right="440"/>
        <w:jc w:val="right"/>
        <w:textAlignment w:val="auto"/>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Pr>
        <w:pageBreakBefore w:val="0"/>
        <w:kinsoku/>
        <w:wordWrap/>
        <w:overflowPunct/>
        <w:topLinePunct w:val="0"/>
        <w:bidi w:val="0"/>
        <w:spacing w:line="560" w:lineRule="exact"/>
        <w:textAlignment w:val="auto"/>
      </w:pPr>
    </w:p>
    <w:p>
      <w:pPr>
        <w:pStyle w:val="23"/>
        <w:pageBreakBefore w:val="0"/>
        <w:numPr>
          <w:ilvl w:val="0"/>
          <w:numId w:val="2"/>
        </w:numPr>
        <w:kinsoku/>
        <w:wordWrap/>
        <w:overflowPunct/>
        <w:topLinePunct w:val="0"/>
        <w:bidi w:val="0"/>
        <w:spacing w:line="560" w:lineRule="exact"/>
        <w:ind w:firstLineChars="0"/>
        <w:textAlignment w:val="auto"/>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bookmarkStart w:id="26" w:name="_Toc15396608"/>
      <w:bookmarkStart w:id="27" w:name="_Toc15377214"/>
      <w:r>
        <w:rPr>
          <w:rFonts w:hint="eastAsia" w:ascii="仿宋" w:hAnsi="仿宋" w:eastAsia="仿宋"/>
          <w:color w:val="000000"/>
          <w:sz w:val="32"/>
          <w:szCs w:val="32"/>
        </w:rPr>
        <w:t>2019年度收入总计131.12万元。与2018年相比收入减少652.63万元，下降83.27</w:t>
      </w:r>
      <w:r>
        <w:rPr>
          <w:rFonts w:ascii="仿宋" w:hAnsi="仿宋" w:eastAsia="仿宋"/>
          <w:color w:val="000000"/>
          <w:sz w:val="32"/>
          <w:szCs w:val="32"/>
        </w:rPr>
        <w:t>%</w:t>
      </w:r>
      <w:r>
        <w:rPr>
          <w:rFonts w:hint="eastAsia" w:ascii="仿宋" w:hAnsi="仿宋" w:eastAsia="仿宋"/>
          <w:color w:val="000000"/>
          <w:sz w:val="32"/>
          <w:szCs w:val="32"/>
        </w:rPr>
        <w:t>。主要变动原因是2018年下达档案馆项目建设拨款。</w:t>
      </w:r>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2019年支出总计811.80万元。与2018年相比支出增加680.54万元，增加518.47</w:t>
      </w:r>
      <w:r>
        <w:rPr>
          <w:rFonts w:ascii="仿宋" w:hAnsi="仿宋" w:eastAsia="仿宋"/>
          <w:color w:val="000000"/>
          <w:sz w:val="32"/>
          <w:szCs w:val="32"/>
        </w:rPr>
        <w:t>%</w:t>
      </w:r>
      <w:r>
        <w:rPr>
          <w:rFonts w:hint="eastAsia" w:ascii="仿宋" w:hAnsi="仿宋" w:eastAsia="仿宋"/>
          <w:color w:val="000000"/>
          <w:sz w:val="32"/>
          <w:szCs w:val="32"/>
        </w:rPr>
        <w:t>。主要变动原因是2019年度支付了档案馆项目建设资金。</w:t>
      </w:r>
    </w:p>
    <w:p>
      <w:pPr>
        <w:pStyle w:val="30"/>
        <w:pageBreakBefore w:val="0"/>
        <w:numPr>
          <w:ilvl w:val="0"/>
          <w:numId w:val="2"/>
        </w:numPr>
        <w:kinsoku/>
        <w:wordWrap/>
        <w:overflowPunct/>
        <w:topLinePunct w:val="0"/>
        <w:bidi w:val="0"/>
        <w:spacing w:line="560" w:lineRule="exact"/>
        <w:ind w:firstLineChars="0"/>
        <w:textAlignment w:val="auto"/>
        <w:outlineLvl w:val="1"/>
        <w:rPr>
          <w:rStyle w:val="25"/>
          <w:rFonts w:ascii="黑体" w:hAnsi="黑体" w:eastAsia="黑体"/>
          <w:b w:val="0"/>
        </w:rPr>
      </w:pPr>
      <w:bookmarkStart w:id="28" w:name="_Toc15377206"/>
      <w:bookmarkStart w:id="29"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8"/>
      <w:bookmarkEnd w:id="29"/>
    </w:p>
    <w:p>
      <w:pPr>
        <w:pageBreakBefore w:val="0"/>
        <w:kinsoku/>
        <w:wordWrap/>
        <w:overflowPunct/>
        <w:topLinePunct w:val="0"/>
        <w:bidi w:val="0"/>
        <w:spacing w:line="560"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9年本年收入合计131.12万元，其中：一般公共预算财政拨款收入131.12万元，占100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30"/>
        <w:pageBreakBefore w:val="0"/>
        <w:numPr>
          <w:ilvl w:val="0"/>
          <w:numId w:val="2"/>
        </w:numPr>
        <w:kinsoku/>
        <w:wordWrap/>
        <w:overflowPunct/>
        <w:topLinePunct w:val="0"/>
        <w:bidi w:val="0"/>
        <w:spacing w:line="560" w:lineRule="exact"/>
        <w:ind w:firstLineChars="0"/>
        <w:textAlignment w:val="auto"/>
        <w:outlineLvl w:val="1"/>
        <w:rPr>
          <w:rStyle w:val="25"/>
          <w:rFonts w:ascii="黑体" w:hAnsi="黑体" w:eastAsia="黑体"/>
          <w:b w:val="0"/>
        </w:rPr>
      </w:pPr>
      <w:bookmarkStart w:id="30" w:name="_Toc15396605"/>
      <w:bookmarkStart w:id="31"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0"/>
      <w:bookmarkEnd w:id="31"/>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9年本年支出合计811.80万元，其中：基本支出111.89万元，占13.78</w:t>
      </w:r>
      <w:r>
        <w:rPr>
          <w:rFonts w:ascii="仿宋" w:hAnsi="仿宋" w:eastAsia="仿宋"/>
          <w:color w:val="000000"/>
          <w:sz w:val="32"/>
          <w:szCs w:val="32"/>
        </w:rPr>
        <w:t>%</w:t>
      </w:r>
      <w:r>
        <w:rPr>
          <w:rFonts w:hint="eastAsia" w:ascii="仿宋" w:hAnsi="仿宋" w:eastAsia="仿宋"/>
          <w:color w:val="000000"/>
          <w:sz w:val="32"/>
          <w:szCs w:val="32"/>
        </w:rPr>
        <w:t>；项目支出 699.91万元，占86.22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textAlignment w:val="auto"/>
        <w:outlineLvl w:val="1"/>
        <w:rPr>
          <w:rStyle w:val="25"/>
          <w:rFonts w:ascii="黑体" w:hAnsi="黑体" w:eastAsia="黑体"/>
          <w:b w:val="0"/>
        </w:rPr>
      </w:pPr>
      <w:bookmarkStart w:id="32" w:name="_Toc15396606"/>
      <w:bookmarkStart w:id="33"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2"/>
      <w:bookmarkEnd w:id="33"/>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2019年度财政拨款收入总计131.12万元。与2018年相比收入减少652.63万元，下降83.27</w:t>
      </w:r>
      <w:r>
        <w:rPr>
          <w:rFonts w:ascii="仿宋" w:hAnsi="仿宋" w:eastAsia="仿宋"/>
          <w:color w:val="000000"/>
          <w:sz w:val="32"/>
          <w:szCs w:val="32"/>
        </w:rPr>
        <w:t>%</w:t>
      </w:r>
      <w:r>
        <w:rPr>
          <w:rFonts w:hint="eastAsia" w:ascii="仿宋" w:hAnsi="仿宋" w:eastAsia="仿宋"/>
          <w:color w:val="000000"/>
          <w:sz w:val="32"/>
          <w:szCs w:val="32"/>
        </w:rPr>
        <w:t>。主要变动原因是2018年下达档案馆项目建设拨款。</w:t>
      </w:r>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2019年财政拨款支出总计810.68万元。与2018年相比支出增加681.33万元，增加526.73</w:t>
      </w:r>
      <w:r>
        <w:rPr>
          <w:rFonts w:ascii="仿宋" w:hAnsi="仿宋" w:eastAsia="仿宋"/>
          <w:color w:val="000000"/>
          <w:sz w:val="32"/>
          <w:szCs w:val="32"/>
        </w:rPr>
        <w:t>%</w:t>
      </w:r>
      <w:r>
        <w:rPr>
          <w:rFonts w:hint="eastAsia" w:ascii="仿宋" w:hAnsi="仿宋" w:eastAsia="仿宋"/>
          <w:color w:val="000000"/>
          <w:sz w:val="32"/>
          <w:szCs w:val="32"/>
        </w:rPr>
        <w:t>。主要变动原因是2019年度支付了档案馆项目建设资金。</w:t>
      </w:r>
    </w:p>
    <w:p>
      <w:pPr>
        <w:pageBreakBefore w:val="0"/>
        <w:kinsoku/>
        <w:wordWrap/>
        <w:overflowPunct/>
        <w:topLinePunct w:val="0"/>
        <w:bidi w:val="0"/>
        <w:spacing w:line="560" w:lineRule="exact"/>
        <w:ind w:firstLine="640" w:firstLineChars="200"/>
        <w:textAlignment w:val="auto"/>
        <w:outlineLvl w:val="1"/>
        <w:rPr>
          <w:rStyle w:val="25"/>
          <w:rFonts w:ascii="黑体" w:hAnsi="黑体" w:eastAsia="黑体"/>
          <w:b w:val="0"/>
        </w:rPr>
      </w:pPr>
      <w:bookmarkStart w:id="34" w:name="_Toc15396607"/>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4"/>
      <w:bookmarkEnd w:id="35"/>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9年一般公共预算财政拨款支出810.68万元，占本年支出合计的99.85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8年相比，一般公共预算财政拨款支出增加681.33万元，增加526.73</w:t>
      </w:r>
      <w:r>
        <w:rPr>
          <w:rFonts w:ascii="仿宋" w:hAnsi="仿宋" w:eastAsia="仿宋"/>
          <w:color w:val="000000"/>
          <w:sz w:val="32"/>
          <w:szCs w:val="32"/>
        </w:rPr>
        <w:t>%</w:t>
      </w:r>
      <w:r>
        <w:rPr>
          <w:rFonts w:hint="eastAsia" w:ascii="仿宋" w:hAnsi="仿宋" w:eastAsia="仿宋"/>
          <w:color w:val="000000"/>
          <w:sz w:val="32"/>
          <w:szCs w:val="32"/>
        </w:rPr>
        <w:t>。主要变动原因是2019年度支付了档案馆项目建设资金。</w:t>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pageBreakBefore w:val="0"/>
        <w:kinsoku/>
        <w:wordWrap/>
        <w:overflowPunct/>
        <w:topLinePunct w:val="0"/>
        <w:bidi w:val="0"/>
        <w:spacing w:line="560" w:lineRule="exact"/>
        <w:ind w:firstLine="640" w:firstLineChars="200"/>
        <w:textAlignment w:val="auto"/>
        <w:rPr>
          <w:rFonts w:ascii="宋体" w:hAnsi="宋体" w:cs="Arial"/>
          <w:color w:val="000000"/>
          <w:kern w:val="0"/>
          <w:sz w:val="22"/>
          <w:szCs w:val="2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政拨款支出810.68万元，主要用于以下方面</w:t>
      </w:r>
      <w:r>
        <w:rPr>
          <w:rFonts w:ascii="仿宋" w:hAnsi="仿宋" w:eastAsia="仿宋"/>
          <w:color w:val="000000" w:themeColor="text1"/>
          <w:sz w:val="32"/>
          <w:szCs w:val="32"/>
        </w:rPr>
        <w:t>:</w:t>
      </w:r>
      <w:r>
        <w:rPr>
          <w:rFonts w:hint="eastAsia"/>
        </w:rPr>
        <w:t xml:space="preserve"> </w:t>
      </w:r>
      <w:r>
        <w:rPr>
          <w:rFonts w:hint="eastAsia" w:ascii="仿宋" w:hAnsi="仿宋" w:eastAsia="仿宋"/>
          <w:b/>
          <w:color w:val="000000" w:themeColor="text1"/>
          <w:sz w:val="32"/>
          <w:szCs w:val="32"/>
        </w:rPr>
        <w:t>一般公共服务支出（类）</w:t>
      </w:r>
      <w:r>
        <w:rPr>
          <w:rFonts w:hint="eastAsia" w:ascii="仿宋" w:hAnsi="仿宋" w:eastAsia="仿宋"/>
          <w:color w:val="000000" w:themeColor="text1"/>
          <w:sz w:val="32"/>
          <w:szCs w:val="32"/>
        </w:rPr>
        <w:t>支出785.67万元，占96.91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支出11.01万元，占1.36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4.20万元，占0.52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w:t>
      </w:r>
      <w:r>
        <w:rPr>
          <w:rFonts w:hint="eastAsia" w:ascii="仿宋" w:hAnsi="仿宋" w:eastAsia="仿宋"/>
          <w:b/>
          <w:bCs/>
          <w:color w:val="000000" w:themeColor="text1"/>
          <w:sz w:val="32"/>
          <w:szCs w:val="32"/>
        </w:rPr>
        <w:t>（类）</w:t>
      </w:r>
      <w:r>
        <w:rPr>
          <w:rFonts w:hint="eastAsia" w:ascii="仿宋" w:hAnsi="仿宋" w:eastAsia="仿宋"/>
          <w:color w:val="000000" w:themeColor="text1"/>
          <w:sz w:val="32"/>
          <w:szCs w:val="32"/>
        </w:rPr>
        <w:t>支出9.80万元，占1.21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pageBreakBefore w:val="0"/>
        <w:kinsoku/>
        <w:wordWrap/>
        <w:overflowPunct/>
        <w:topLinePunct w:val="0"/>
        <w:bidi w:val="0"/>
        <w:spacing w:line="560" w:lineRule="exact"/>
        <w:ind w:firstLine="643" w:firstLineChars="200"/>
        <w:textAlignment w:val="auto"/>
        <w:outlineLvl w:val="2"/>
        <w:rPr>
          <w:rFonts w:ascii="仿宋" w:hAnsi="仿宋" w:eastAsia="仿宋"/>
          <w:color w:val="FF0000"/>
          <w:sz w:val="32"/>
          <w:szCs w:val="32"/>
        </w:rPr>
      </w:pPr>
      <w:bookmarkStart w:id="39" w:name="_Toc15377444"/>
      <w:bookmarkStart w:id="40" w:name="_Toc15377213"/>
      <w:bookmarkStart w:id="41" w:name="_Toc15378460"/>
      <w:r>
        <w:rPr>
          <w:rFonts w:hint="eastAsia" w:ascii="仿宋" w:hAnsi="仿宋" w:eastAsia="仿宋"/>
          <w:b/>
          <w:color w:val="000000" w:themeColor="text1"/>
          <w:sz w:val="32"/>
          <w:szCs w:val="32"/>
        </w:rPr>
        <w:t>2019年般公共预算支出决算数为</w:t>
      </w:r>
      <w:r>
        <w:rPr>
          <w:rFonts w:hint="eastAsia" w:ascii="仿宋" w:hAnsi="仿宋" w:eastAsia="仿宋"/>
          <w:color w:val="000000" w:themeColor="text1"/>
          <w:sz w:val="32"/>
          <w:szCs w:val="32"/>
        </w:rPr>
        <w:t>810.68万元，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预算99.99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9"/>
      <w:bookmarkEnd w:id="40"/>
      <w:bookmarkEnd w:id="41"/>
    </w:p>
    <w:p>
      <w:pPr>
        <w:pageBreakBefore w:val="0"/>
        <w:kinsoku/>
        <w:wordWrap/>
        <w:overflowPunct/>
        <w:topLinePunct w:val="0"/>
        <w:bidi w:val="0"/>
        <w:spacing w:line="560" w:lineRule="exact"/>
        <w:ind w:firstLine="643" w:firstLineChars="200"/>
        <w:textAlignment w:val="auto"/>
        <w:rPr>
          <w:rFonts w:ascii="宋体" w:hAnsi="宋体" w:cs="Arial"/>
          <w:color w:val="000000"/>
          <w:kern w:val="0"/>
          <w:sz w:val="22"/>
          <w:szCs w:val="2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Style w:val="14"/>
          <w:rFonts w:hint="eastAsia" w:ascii="仿宋" w:hAnsi="仿宋" w:eastAsia="仿宋"/>
          <w:bCs/>
          <w:sz w:val="32"/>
          <w:szCs w:val="32"/>
        </w:rPr>
        <w:t>行政运行201</w:t>
      </w:r>
      <w:r>
        <w:rPr>
          <w:rStyle w:val="14"/>
          <w:rFonts w:hint="eastAsia" w:ascii="仿宋" w:hAnsi="仿宋" w:eastAsia="仿宋"/>
          <w:bCs/>
          <w:color w:val="000000"/>
          <w:sz w:val="32"/>
          <w:szCs w:val="32"/>
        </w:rPr>
        <w:t>（类）26（款）01（项）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支出决算为85.76万元，完成预算100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Fonts w:ascii="宋体" w:hAnsi="宋体" w:cs="Arial"/>
          <w:color w:val="000000"/>
          <w:kern w:val="0"/>
          <w:sz w:val="22"/>
          <w:szCs w:val="2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Style w:val="14"/>
          <w:rFonts w:hint="eastAsia" w:ascii="仿宋" w:hAnsi="仿宋" w:eastAsia="仿宋"/>
          <w:bCs/>
          <w:sz w:val="32"/>
          <w:szCs w:val="32"/>
        </w:rPr>
        <w:t>档案馆201</w:t>
      </w:r>
      <w:r>
        <w:rPr>
          <w:rStyle w:val="14"/>
          <w:rFonts w:hint="eastAsia" w:ascii="仿宋" w:hAnsi="仿宋" w:eastAsia="仿宋"/>
          <w:bCs/>
          <w:color w:val="000000"/>
          <w:sz w:val="32"/>
          <w:szCs w:val="32"/>
        </w:rPr>
        <w:t>（类）26（款）04（项）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支出决算为40.91万元，完成预算100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Fonts w:ascii="宋体" w:hAnsi="宋体" w:cs="Arial"/>
          <w:color w:val="000000"/>
          <w:kern w:val="0"/>
          <w:sz w:val="22"/>
          <w:szCs w:val="2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Style w:val="14"/>
          <w:rFonts w:hint="eastAsia" w:ascii="仿宋" w:hAnsi="仿宋" w:eastAsia="仿宋"/>
          <w:bCs/>
          <w:sz w:val="32"/>
          <w:szCs w:val="32"/>
        </w:rPr>
        <w:t>其他档案事务支出201</w:t>
      </w:r>
      <w:r>
        <w:rPr>
          <w:rStyle w:val="14"/>
          <w:rFonts w:hint="eastAsia" w:ascii="仿宋" w:hAnsi="仿宋" w:eastAsia="仿宋"/>
          <w:bCs/>
          <w:color w:val="000000"/>
          <w:sz w:val="32"/>
          <w:szCs w:val="32"/>
        </w:rPr>
        <w:t>（类）26（款）99（项）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支出决算为659万元，完成预算100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Fonts w:ascii="宋体" w:hAnsi="宋体" w:cs="Arial"/>
          <w:color w:val="000000"/>
          <w:kern w:val="0"/>
          <w:sz w:val="22"/>
          <w:szCs w:val="2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Fonts w:hint="eastAsia" w:ascii="仿宋" w:hAnsi="仿宋" w:eastAsia="仿宋"/>
          <w:b/>
          <w:bCs/>
          <w:color w:val="000000" w:themeColor="text1"/>
          <w:sz w:val="32"/>
          <w:szCs w:val="32"/>
        </w:rPr>
        <w:t>未归口管理的行政单位离退休</w:t>
      </w:r>
      <w:r>
        <w:rPr>
          <w:rStyle w:val="14"/>
          <w:rFonts w:hint="eastAsia" w:ascii="仿宋" w:hAnsi="仿宋" w:eastAsia="仿宋"/>
          <w:bCs/>
          <w:sz w:val="32"/>
          <w:szCs w:val="32"/>
        </w:rPr>
        <w:t>208</w:t>
      </w:r>
      <w:r>
        <w:rPr>
          <w:rStyle w:val="14"/>
          <w:rFonts w:hint="eastAsia" w:ascii="仿宋" w:hAnsi="仿宋" w:eastAsia="仿宋"/>
          <w:bCs/>
          <w:color w:val="000000"/>
          <w:sz w:val="32"/>
          <w:szCs w:val="32"/>
        </w:rPr>
        <w:t>（类）05（款）04（项）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Fonts w:hint="eastAsia" w:ascii="仿宋" w:hAnsi="仿宋" w:eastAsia="仿宋"/>
          <w:b/>
          <w:bCs/>
          <w:color w:val="000000" w:themeColor="text1"/>
          <w:sz w:val="32"/>
          <w:szCs w:val="32"/>
        </w:rPr>
        <w:t>机关事业单位基本养老保险缴费支出</w:t>
      </w:r>
      <w:r>
        <w:rPr>
          <w:rFonts w:hint="eastAsia" w:ascii="宋体" w:hAnsi="宋体" w:cs="Arial"/>
          <w:color w:val="000000"/>
          <w:kern w:val="0"/>
          <w:sz w:val="22"/>
          <w:szCs w:val="22"/>
        </w:rPr>
        <w:t>208</w:t>
      </w:r>
      <w:r>
        <w:rPr>
          <w:rStyle w:val="14"/>
          <w:rFonts w:hint="eastAsia" w:ascii="仿宋" w:hAnsi="仿宋" w:eastAsia="仿宋"/>
          <w:bCs/>
          <w:color w:val="000000"/>
          <w:sz w:val="32"/>
          <w:szCs w:val="32"/>
        </w:rPr>
        <w:t>（类）05（款）05（项）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支出决算为7.86万元，完成预算100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Fonts w:hint="eastAsia" w:ascii="仿宋" w:hAnsi="仿宋" w:eastAsia="仿宋"/>
          <w:b/>
          <w:bCs/>
          <w:color w:val="000000" w:themeColor="text1"/>
          <w:sz w:val="32"/>
          <w:szCs w:val="32"/>
        </w:rPr>
        <w:t>行政单位医疗210</w:t>
      </w:r>
      <w:r>
        <w:rPr>
          <w:rStyle w:val="14"/>
          <w:rFonts w:hint="eastAsia" w:ascii="仿宋" w:hAnsi="仿宋" w:eastAsia="仿宋"/>
          <w:bCs/>
          <w:color w:val="000000"/>
          <w:sz w:val="32"/>
          <w:szCs w:val="32"/>
        </w:rPr>
        <w:t>（类）11（款）01（项）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宋体" w:hAnsi="宋体" w:cs="Arial"/>
          <w:color w:val="000000"/>
          <w:kern w:val="0"/>
          <w:sz w:val="32"/>
          <w:szCs w:val="32"/>
        </w:rPr>
        <w:t>3.40</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 xml:space="preserve"> 公务员医疗补助210</w:t>
      </w:r>
      <w:r>
        <w:rPr>
          <w:rStyle w:val="14"/>
          <w:rFonts w:hint="eastAsia" w:ascii="仿宋" w:hAnsi="仿宋" w:eastAsia="仿宋"/>
          <w:bCs/>
          <w:color w:val="000000"/>
          <w:sz w:val="32"/>
          <w:szCs w:val="32"/>
        </w:rPr>
        <w:t>（类）11（款）03（项）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宋体" w:hAnsi="宋体" w:cs="Arial"/>
          <w:color w:val="000000"/>
          <w:kern w:val="0"/>
          <w:sz w:val="32"/>
          <w:szCs w:val="32"/>
        </w:rPr>
        <w:t>0. 8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8</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Fonts w:hint="eastAsia" w:ascii="仿宋" w:hAnsi="仿宋" w:eastAsia="仿宋"/>
          <w:b/>
          <w:bCs/>
          <w:color w:val="000000" w:themeColor="text1"/>
          <w:sz w:val="32"/>
          <w:szCs w:val="32"/>
        </w:rPr>
        <w:t>住房公积金221</w:t>
      </w:r>
      <w:r>
        <w:rPr>
          <w:rStyle w:val="14"/>
          <w:rFonts w:hint="eastAsia" w:ascii="仿宋" w:hAnsi="仿宋" w:eastAsia="仿宋"/>
          <w:bCs/>
          <w:color w:val="000000"/>
          <w:sz w:val="32"/>
          <w:szCs w:val="32"/>
        </w:rPr>
        <w:t>（类）02（款）01（项）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宋体" w:hAnsi="宋体" w:cs="Arial"/>
          <w:color w:val="000000"/>
          <w:kern w:val="0"/>
          <w:sz w:val="32"/>
          <w:szCs w:val="32"/>
        </w:rPr>
        <w:t>9.80</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9</w:t>
      </w:r>
      <w:r>
        <w:rPr>
          <w:rStyle w:val="14"/>
          <w:rFonts w:ascii="仿宋" w:hAnsi="仿宋" w:eastAsia="仿宋"/>
          <w:bCs/>
          <w:color w:val="000000"/>
          <w:sz w:val="32"/>
          <w:szCs w:val="32"/>
        </w:rPr>
        <w:t>.</w:t>
      </w:r>
      <w:r>
        <w:rPr>
          <w:rFonts w:hint="eastAsia" w:ascii="宋体" w:hAnsi="宋体" w:cs="Arial"/>
          <w:color w:val="000000"/>
          <w:kern w:val="0"/>
          <w:sz w:val="22"/>
          <w:szCs w:val="22"/>
        </w:rPr>
        <w:t xml:space="preserve"> </w:t>
      </w:r>
      <w:r>
        <w:rPr>
          <w:rFonts w:hint="eastAsia" w:ascii="仿宋" w:hAnsi="仿宋" w:eastAsia="仿宋"/>
          <w:b/>
          <w:bCs/>
          <w:color w:val="000000" w:themeColor="text1"/>
          <w:sz w:val="32"/>
          <w:szCs w:val="32"/>
        </w:rPr>
        <w:t>财政委托业务支出201</w:t>
      </w:r>
      <w:r>
        <w:rPr>
          <w:rStyle w:val="14"/>
          <w:rFonts w:hint="eastAsia" w:ascii="仿宋" w:hAnsi="仿宋" w:eastAsia="仿宋"/>
          <w:bCs/>
          <w:color w:val="000000"/>
          <w:sz w:val="32"/>
          <w:szCs w:val="32"/>
        </w:rPr>
        <w:t>（类）06（款）08（项）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宋体" w:hAnsi="宋体" w:cs="Arial"/>
          <w:color w:val="000000"/>
          <w:kern w:val="0"/>
          <w:sz w:val="32"/>
          <w:szCs w:val="32"/>
        </w:rPr>
        <w:t>0</w:t>
      </w:r>
      <w:r>
        <w:rPr>
          <w:rStyle w:val="14"/>
          <w:rFonts w:hint="eastAsia" w:ascii="仿宋" w:hAnsi="仿宋" w:eastAsia="仿宋"/>
          <w:b w:val="0"/>
          <w:bCs/>
          <w:color w:val="000000"/>
          <w:sz w:val="32"/>
          <w:szCs w:val="32"/>
        </w:rPr>
        <w:t>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，决算数小于预算数的主要原因是下达财返资金0.08万元。</w:t>
      </w:r>
    </w:p>
    <w:p>
      <w:pPr>
        <w:pageBreakBefore w:val="0"/>
        <w:tabs>
          <w:tab w:val="right" w:pos="8306"/>
        </w:tabs>
        <w:kinsoku/>
        <w:wordWrap/>
        <w:overflowPunct/>
        <w:topLinePunct w:val="0"/>
        <w:bidi w:val="0"/>
        <w:spacing w:line="560" w:lineRule="exact"/>
        <w:ind w:firstLine="640"/>
        <w:textAlignment w:val="auto"/>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26"/>
      <w:bookmarkEnd w:id="27"/>
      <w:r>
        <w:rPr>
          <w:rStyle w:val="25"/>
          <w:rFonts w:ascii="黑体" w:hAnsi="黑体" w:eastAsia="黑体"/>
          <w:b w:val="0"/>
        </w:rPr>
        <w:tab/>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9年一般公共预算财政拨款基本支出110.77万元，其中：</w:t>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人员经费98.87万元，主要包括：基本工资、津贴补贴、奖金、绩效工资、机关事业单位基本养老保险缴费、其他社会保障缴费、其他工资福利支出、退休费、生活补助、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11.90万元，主要包括：办公费、印刷费、咨询费、手续费、水费、电费、邮电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textAlignment w:val="auto"/>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560" w:lineRule="exac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，我单位2019年度未发生三公经费支出。</w:t>
      </w:r>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60" w:lineRule="exac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因公出国（境）</w:t>
      </w:r>
      <w:r>
        <w:rPr>
          <w:rFonts w:hint="eastAsia" w:ascii="仿宋_GB2312" w:eastAsia="仿宋_GB2312"/>
          <w:color w:val="000000"/>
          <w:sz w:val="32"/>
          <w:szCs w:val="32"/>
          <w:lang w:val="en-US" w:eastAsia="zh-CN"/>
        </w:rPr>
        <w:t>情况</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textAlignment w:val="auto"/>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lang w:val="en-US" w:eastAsia="zh-CN"/>
        </w:rPr>
        <w:t>本单位无公务用车</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pageBreakBefore w:val="0"/>
        <w:numPr>
          <w:ilvl w:val="0"/>
          <w:numId w:val="0"/>
        </w:numPr>
        <w:kinsoku/>
        <w:wordWrap/>
        <w:overflowPunct/>
        <w:topLinePunct w:val="0"/>
        <w:bidi w:val="0"/>
        <w:spacing w:line="560"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lang w:val="en-US" w:eastAsia="zh-CN"/>
        </w:rPr>
        <w:t>2019年无公务接待</w:t>
      </w:r>
      <w:r>
        <w:rPr>
          <w:rFonts w:hint="eastAsia" w:ascii="仿宋_GB2312" w:eastAsia="仿宋_GB2312"/>
          <w:color w:val="000000"/>
          <w:sz w:val="32"/>
          <w:szCs w:val="32"/>
        </w:rPr>
        <w:t>。</w:t>
      </w:r>
    </w:p>
    <w:p>
      <w:pPr>
        <w:pageBreakBefore w:val="0"/>
        <w:numPr>
          <w:ilvl w:val="0"/>
          <w:numId w:val="0"/>
        </w:numPr>
        <w:kinsoku/>
        <w:wordWrap/>
        <w:overflowPunct/>
        <w:topLinePunct w:val="0"/>
        <w:bidi w:val="0"/>
        <w:spacing w:line="560" w:lineRule="exact"/>
        <w:ind w:firstLine="643" w:firstLineChars="200"/>
        <w:textAlignment w:val="auto"/>
        <w:rPr>
          <w:rFonts w:ascii="黑体" w:eastAsia="黑体"/>
          <w:color w:val="000000"/>
          <w:sz w:val="32"/>
          <w:szCs w:val="32"/>
        </w:rPr>
      </w:pPr>
      <w:r>
        <w:rPr>
          <w:rFonts w:hint="eastAsia" w:ascii="仿宋" w:hAnsi="仿宋" w:eastAsia="仿宋"/>
          <w:b/>
          <w:color w:val="000000"/>
          <w:sz w:val="32"/>
          <w:szCs w:val="32"/>
          <w:lang w:val="en-US" w:eastAsia="zh-CN"/>
        </w:rPr>
        <w:t>4.</w:t>
      </w: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lang w:val="en-US" w:eastAsia="zh-CN"/>
        </w:rPr>
        <w:t>2019年无公务接待</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textAlignment w:val="auto"/>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pageBreakBefore w:val="0"/>
        <w:numPr>
          <w:ilvl w:val="0"/>
          <w:numId w:val="3"/>
        </w:numPr>
        <w:kinsoku/>
        <w:wordWrap/>
        <w:overflowPunct/>
        <w:topLinePunct w:val="0"/>
        <w:bidi w:val="0"/>
        <w:spacing w:line="560" w:lineRule="exact"/>
        <w:ind w:firstLine="640"/>
        <w:textAlignment w:val="auto"/>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6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pageBreakBefore w:val="0"/>
        <w:kinsoku/>
        <w:wordWrap/>
        <w:overflowPunct/>
        <w:topLinePunct w:val="0"/>
        <w:bidi w:val="0"/>
        <w:spacing w:line="560" w:lineRule="exact"/>
        <w:ind w:firstLine="640" w:firstLineChars="200"/>
        <w:textAlignment w:val="auto"/>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pageBreakBefore w:val="0"/>
        <w:kinsoku/>
        <w:wordWrap/>
        <w:overflowPunct/>
        <w:topLinePunct w:val="0"/>
        <w:bidi w:val="0"/>
        <w:spacing w:line="560" w:lineRule="exact"/>
        <w:ind w:firstLine="643" w:firstLineChars="200"/>
        <w:textAlignment w:val="auto"/>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pacing w:line="560" w:lineRule="exact"/>
        <w:ind w:firstLine="640" w:firstLineChars="200"/>
        <w:textAlignment w:val="auto"/>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9年，我单位机关运行经费支出11.90万元，比</w:t>
      </w:r>
      <w:r>
        <w:rPr>
          <w:rFonts w:ascii="仿宋_GB2312" w:eastAsia="仿宋_GB2312"/>
          <w:color w:val="000000"/>
          <w:sz w:val="32"/>
          <w:szCs w:val="32"/>
        </w:rPr>
        <w:t>201</w:t>
      </w:r>
      <w:r>
        <w:rPr>
          <w:rFonts w:hint="eastAsia" w:ascii="仿宋_GB2312" w:eastAsia="仿宋_GB2312"/>
          <w:color w:val="000000"/>
          <w:sz w:val="32"/>
          <w:szCs w:val="32"/>
        </w:rPr>
        <w:t>8年增加0.06万元，</w:t>
      </w:r>
      <w:r>
        <w:rPr>
          <w:rFonts w:hint="eastAsia" w:ascii="仿宋_GB2312" w:eastAsia="仿宋_GB2312"/>
          <w:color w:val="000000" w:themeColor="text1"/>
          <w:sz w:val="32"/>
          <w:szCs w:val="32"/>
        </w:rPr>
        <w:t>主要为公车补助增加。</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9年，我单位政府采购支出总额0万元，其中：政府采购货物支出0万元、政府采购工程支出0万元、政府采购服务支出0万元。授予中小企业合同金额0万元，占政府采购支出总额的0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日，我单位共有车辆0辆。</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sz w:val="32"/>
          <w:szCs w:val="32"/>
          <w:highlight w:val="none"/>
        </w:rPr>
      </w:pPr>
      <w:r>
        <w:rPr>
          <w:rFonts w:hint="eastAsia" w:ascii="仿宋" w:hAnsi="仿宋" w:eastAsia="仿宋"/>
          <w:b/>
          <w:color w:val="auto"/>
          <w:sz w:val="32"/>
          <w:szCs w:val="32"/>
          <w:highlight w:val="none"/>
        </w:rPr>
        <w:t>（四）预算绩效管理情况。</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根据预算绩效管理要求，本单位在年初预算编制阶段，组织对数字化档案馆建设经费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档案馆设施设备运行经费</w:t>
      </w:r>
      <w:r>
        <w:rPr>
          <w:rFonts w:hint="eastAsia" w:ascii="仿宋_GB2312" w:hAnsi="仿宋_GB2312" w:eastAsia="仿宋_GB2312" w:cs="仿宋_GB2312"/>
          <w:sz w:val="32"/>
          <w:szCs w:val="32"/>
          <w:lang w:eastAsia="zh-CN"/>
        </w:rPr>
        <w:t>、档案利用工作经费</w:t>
      </w:r>
      <w:r>
        <w:rPr>
          <w:rFonts w:hint="eastAsia" w:ascii="仿宋_GB2312" w:hAnsi="仿宋_GB2312" w:eastAsia="仿宋_GB2312" w:cs="仿宋_GB2312"/>
          <w:sz w:val="32"/>
          <w:szCs w:val="32"/>
        </w:rPr>
        <w:t>项目开展了预算事前绩效评估，对数字化档案馆建设经费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档案馆设施设备运行经费</w:t>
      </w:r>
      <w:r>
        <w:rPr>
          <w:rFonts w:hint="eastAsia" w:ascii="仿宋_GB2312" w:hAnsi="仿宋_GB2312" w:eastAsia="仿宋_GB2312" w:cs="仿宋_GB2312"/>
          <w:sz w:val="32"/>
          <w:szCs w:val="32"/>
          <w:lang w:eastAsia="zh-CN"/>
        </w:rPr>
        <w:t>、档案利用工作经费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个项目编制了绩效目标，预算执行过程中，选取数字化档案馆建设项目开展绩效监控，年终执行完毕后，对数字化档案馆建设项目开展了绩效目标完成情况自评。</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color w:val="auto"/>
          <w:sz w:val="32"/>
          <w:szCs w:val="32"/>
          <w:lang w:eastAsia="zh-CN"/>
        </w:rPr>
        <w:t>仁和区档案馆</w:t>
      </w:r>
      <w:r>
        <w:rPr>
          <w:rFonts w:hint="eastAsia" w:ascii="仿宋_GB2312" w:hAnsi="仿宋_GB2312" w:eastAsia="仿宋_GB2312" w:cs="仿宋_GB2312"/>
          <w:color w:val="auto"/>
          <w:sz w:val="32"/>
          <w:szCs w:val="32"/>
        </w:rPr>
        <w:t>预算安排支出主要用于保障该部门机构正常运转、完成日常工作任务以及本单位承担的</w:t>
      </w:r>
      <w:r>
        <w:rPr>
          <w:rFonts w:hint="eastAsia" w:ascii="仿宋_GB2312" w:hAnsi="仿宋_GB2312" w:eastAsia="仿宋_GB2312" w:cs="仿宋_GB2312"/>
          <w:color w:val="auto"/>
          <w:sz w:val="32"/>
          <w:szCs w:val="32"/>
          <w:lang w:eastAsia="zh-CN"/>
        </w:rPr>
        <w:t>档案业务管理</w:t>
      </w:r>
      <w:r>
        <w:rPr>
          <w:rFonts w:hint="eastAsia" w:ascii="仿宋_GB2312" w:hAnsi="仿宋_GB2312" w:eastAsia="仿宋_GB2312" w:cs="仿宋_GB2312"/>
          <w:color w:val="auto"/>
          <w:sz w:val="32"/>
          <w:szCs w:val="32"/>
        </w:rPr>
        <w:t>工作。基本支出，是用于保障</w:t>
      </w:r>
      <w:r>
        <w:rPr>
          <w:rFonts w:hint="eastAsia" w:ascii="仿宋_GB2312" w:hAnsi="仿宋_GB2312" w:eastAsia="仿宋_GB2312" w:cs="仿宋_GB2312"/>
          <w:color w:val="auto"/>
          <w:sz w:val="32"/>
          <w:szCs w:val="32"/>
          <w:lang w:eastAsia="zh-CN"/>
        </w:rPr>
        <w:t>我馆</w:t>
      </w:r>
      <w:r>
        <w:rPr>
          <w:rFonts w:hint="eastAsia" w:ascii="仿宋_GB2312" w:hAnsi="仿宋_GB2312" w:eastAsia="仿宋_GB2312" w:cs="仿宋_GB2312"/>
          <w:color w:val="auto"/>
          <w:sz w:val="32"/>
          <w:szCs w:val="32"/>
        </w:rPr>
        <w:t>正常运转的日常支出，包括基本工资、津贴补贴、离退休费、住房公积金和日常公用经费等。项目支出，是用于保障</w:t>
      </w:r>
      <w:r>
        <w:rPr>
          <w:rFonts w:hint="eastAsia" w:ascii="仿宋_GB2312" w:hAnsi="仿宋_GB2312" w:eastAsia="仿宋_GB2312" w:cs="仿宋_GB2312"/>
          <w:color w:val="auto"/>
          <w:sz w:val="32"/>
          <w:szCs w:val="32"/>
          <w:lang w:eastAsia="zh-CN"/>
        </w:rPr>
        <w:t>我馆档案业务部门</w:t>
      </w:r>
      <w:r>
        <w:rPr>
          <w:rFonts w:hint="eastAsia" w:ascii="仿宋_GB2312" w:hAnsi="仿宋_GB2312" w:eastAsia="仿宋_GB2312" w:cs="仿宋_GB2312"/>
          <w:color w:val="auto"/>
          <w:sz w:val="32"/>
          <w:szCs w:val="32"/>
        </w:rPr>
        <w:t>为完成特定的行政工作任务或事业发展目标，用于专项业务工作的经费支出。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个项目支出绩效评价，从评价情况来看一是</w:t>
      </w:r>
      <w:r>
        <w:rPr>
          <w:rFonts w:hint="eastAsia" w:ascii="仿宋_GB2312" w:hAnsi="仿宋_GB2312" w:eastAsia="仿宋_GB2312" w:cs="仿宋_GB2312"/>
          <w:sz w:val="32"/>
          <w:szCs w:val="32"/>
          <w:lang w:eastAsia="zh-CN"/>
        </w:rPr>
        <w:t>全力推进</w:t>
      </w:r>
      <w:r>
        <w:rPr>
          <w:rFonts w:hint="eastAsia" w:ascii="仿宋_GB2312" w:hAnsi="仿宋_GB2312" w:eastAsia="仿宋_GB2312" w:cs="仿宋_GB2312"/>
          <w:sz w:val="32"/>
          <w:szCs w:val="32"/>
        </w:rPr>
        <w:t>档案馆建设</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，2019年7月完成</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eastAsia="zh-CN"/>
        </w:rPr>
        <w:t>内农房</w:t>
      </w:r>
      <w:r>
        <w:rPr>
          <w:rFonts w:hint="eastAsia" w:ascii="仿宋_GB2312" w:hAnsi="仿宋_GB2312" w:eastAsia="仿宋_GB2312" w:cs="仿宋_GB2312"/>
          <w:sz w:val="32"/>
          <w:szCs w:val="32"/>
        </w:rPr>
        <w:t>拆迁</w:t>
      </w:r>
      <w:r>
        <w:rPr>
          <w:rFonts w:hint="eastAsia" w:ascii="仿宋_GB2312" w:hAnsi="仿宋_GB2312" w:eastAsia="仿宋_GB2312" w:cs="仿宋_GB2312"/>
          <w:sz w:val="32"/>
          <w:szCs w:val="32"/>
          <w:lang w:eastAsia="zh-CN"/>
        </w:rPr>
        <w:t>，档案馆项目建设顺利开工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区供电</w:t>
      </w:r>
      <w:r>
        <w:rPr>
          <w:rFonts w:hint="eastAsia" w:ascii="仿宋_GB2312" w:hAnsi="仿宋_GB2312" w:eastAsia="仿宋_GB2312" w:cs="仿宋_GB2312"/>
          <w:sz w:val="32"/>
          <w:szCs w:val="32"/>
          <w:lang w:eastAsia="zh-CN"/>
        </w:rPr>
        <w:t>局协商签订项目</w:t>
      </w:r>
      <w:r>
        <w:rPr>
          <w:rFonts w:hint="eastAsia" w:ascii="仿宋_GB2312" w:hAnsi="仿宋_GB2312" w:eastAsia="仿宋_GB2312" w:cs="仿宋_GB2312"/>
          <w:sz w:val="32"/>
          <w:szCs w:val="32"/>
        </w:rPr>
        <w:t>建设永久供电施工合同，解决档案馆用电问题。</w:t>
      </w:r>
      <w:r>
        <w:rPr>
          <w:rFonts w:hint="eastAsia" w:ascii="仿宋_GB2312" w:hAnsi="仿宋_GB2312" w:eastAsia="仿宋_GB2312" w:cs="仿宋_GB2312"/>
          <w:sz w:val="32"/>
          <w:szCs w:val="32"/>
          <w:lang w:val="en-US" w:eastAsia="zh-CN"/>
        </w:rPr>
        <w:t>2019年底</w:t>
      </w:r>
      <w:r>
        <w:rPr>
          <w:rFonts w:hint="eastAsia" w:ascii="仿宋_GB2312" w:hAnsi="仿宋_GB2312" w:eastAsia="仿宋_GB2312" w:cs="仿宋_GB2312"/>
          <w:sz w:val="32"/>
          <w:szCs w:val="32"/>
        </w:rPr>
        <w:t>，区档案馆建设项目进入主体施工阶段。</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b w:val="0"/>
          <w:bCs w:val="0"/>
          <w:sz w:val="32"/>
          <w:szCs w:val="32"/>
          <w:lang w:eastAsia="zh-CN"/>
        </w:rPr>
        <w:t>完成16个全宗30.7万页8.61万条档案全文数字化工作。同时，对15个全宗4908卷1.08万件29.65万条档案全文数字化的数据进行了检查。</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highlight w:val="none"/>
          <w:lang w:eastAsia="zh-CN"/>
        </w:rPr>
        <w:t>提供利用档案</w:t>
      </w:r>
      <w:r>
        <w:rPr>
          <w:rFonts w:hint="eastAsia" w:ascii="仿宋_GB2312" w:hAnsi="仿宋_GB2312" w:eastAsia="仿宋_GB2312" w:cs="仿宋_GB2312"/>
          <w:b w:val="0"/>
          <w:bCs w:val="0"/>
          <w:sz w:val="32"/>
          <w:szCs w:val="32"/>
          <w:highlight w:val="none"/>
          <w:lang w:val="en-US" w:eastAsia="zh-CN"/>
        </w:rPr>
        <w:t>4185</w:t>
      </w:r>
      <w:r>
        <w:rPr>
          <w:rFonts w:hint="eastAsia" w:ascii="仿宋_GB2312" w:hAnsi="仿宋_GB2312" w:eastAsia="仿宋_GB2312" w:cs="仿宋_GB2312"/>
          <w:b w:val="0"/>
          <w:bCs w:val="0"/>
          <w:sz w:val="32"/>
          <w:szCs w:val="32"/>
          <w:highlight w:val="none"/>
          <w:lang w:eastAsia="zh-CN"/>
        </w:rPr>
        <w:t>人次、</w:t>
      </w:r>
      <w:r>
        <w:rPr>
          <w:rFonts w:hint="eastAsia" w:ascii="仿宋_GB2312" w:hAnsi="仿宋_GB2312" w:eastAsia="仿宋_GB2312" w:cs="仿宋_GB2312"/>
          <w:b w:val="0"/>
          <w:bCs w:val="0"/>
          <w:sz w:val="32"/>
          <w:szCs w:val="32"/>
          <w:highlight w:val="none"/>
          <w:lang w:val="en-US" w:eastAsia="zh-CN"/>
        </w:rPr>
        <w:t>5485</w:t>
      </w:r>
      <w:r>
        <w:rPr>
          <w:rFonts w:hint="eastAsia" w:ascii="仿宋_GB2312" w:hAnsi="仿宋_GB2312" w:eastAsia="仿宋_GB2312" w:cs="仿宋_GB2312"/>
          <w:b w:val="0"/>
          <w:bCs w:val="0"/>
          <w:sz w:val="32"/>
          <w:szCs w:val="32"/>
          <w:highlight w:val="none"/>
          <w:lang w:eastAsia="zh-CN"/>
        </w:rPr>
        <w:t>卷次，复印档案</w:t>
      </w:r>
      <w:r>
        <w:rPr>
          <w:rFonts w:hint="eastAsia" w:ascii="仿宋_GB2312" w:hAnsi="仿宋_GB2312" w:eastAsia="仿宋_GB2312" w:cs="仿宋_GB2312"/>
          <w:b w:val="0"/>
          <w:bCs w:val="0"/>
          <w:sz w:val="32"/>
          <w:szCs w:val="32"/>
          <w:highlight w:val="none"/>
          <w:lang w:val="en-US" w:eastAsia="zh-CN"/>
        </w:rPr>
        <w:t>2.2</w:t>
      </w:r>
      <w:r>
        <w:rPr>
          <w:rFonts w:hint="eastAsia" w:ascii="仿宋_GB2312" w:hAnsi="仿宋_GB2312" w:eastAsia="仿宋_GB2312" w:cs="仿宋_GB2312"/>
          <w:b w:val="0"/>
          <w:bCs w:val="0"/>
          <w:sz w:val="32"/>
          <w:szCs w:val="32"/>
          <w:highlight w:val="none"/>
          <w:lang w:eastAsia="zh-CN"/>
        </w:rPr>
        <w:t>万余页。</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本部门在2019年度部门决算中反映数字化档案馆建设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档案馆设施设备运行</w:t>
      </w:r>
      <w:r>
        <w:rPr>
          <w:rFonts w:hint="eastAsia" w:ascii="仿宋_GB2312" w:hAnsi="仿宋_GB2312" w:eastAsia="仿宋_GB2312" w:cs="仿宋_GB2312"/>
          <w:sz w:val="32"/>
          <w:szCs w:val="32"/>
          <w:lang w:eastAsia="zh-CN"/>
        </w:rPr>
        <w:t>、档案利用工作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个项目绩效目标实际完成情况全部进行</w:t>
      </w:r>
      <w:r>
        <w:rPr>
          <w:rFonts w:hint="eastAsia" w:ascii="仿宋_GB2312" w:hAnsi="仿宋_GB2312" w:eastAsia="仿宋_GB2312" w:cs="仿宋_GB2312"/>
          <w:sz w:val="32"/>
          <w:szCs w:val="32"/>
          <w:lang w:val="en-US" w:eastAsia="zh-CN"/>
        </w:rPr>
        <w:t>了绩效</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数字化档案馆建设项目绩效目标完成情况综述。项目全年预算数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了档案全文数字化工作顺利开展，提高实体档案安全保管条件，促进档案信息化建设。</w:t>
      </w:r>
      <w:r>
        <w:rPr>
          <w:rFonts w:hint="eastAsia" w:ascii="仿宋_GB2312" w:hAnsi="仿宋_GB2312" w:eastAsia="仿宋_GB2312" w:cs="仿宋_GB2312"/>
          <w:b w:val="0"/>
          <w:bCs w:val="0"/>
          <w:sz w:val="32"/>
          <w:szCs w:val="32"/>
          <w:lang w:eastAsia="zh-CN"/>
        </w:rPr>
        <w:t>全面完成16个全宗30.7万页8.61万条档案全文数字化工作。同时，对15个全宗4908卷1.08万件29.65万条档案全文数字化的数据进行了检查。</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（2）档案馆设施设备运行项目绩效目标完成情况综述。项目全年预算数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档案馆设备运行电费和设施设备维护更新。保证库房达到恒温恒湿标准，提高档案保管安全条件。</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档案利用工作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档案查借阅的查准率和查全率，提高为经济社会发展的档案服务能力。</w:t>
      </w:r>
      <w:r>
        <w:rPr>
          <w:rFonts w:hint="eastAsia" w:ascii="仿宋_GB2312" w:hAnsi="仿宋_GB2312" w:eastAsia="仿宋_GB2312" w:cs="仿宋_GB2312"/>
          <w:b w:val="0"/>
          <w:bCs w:val="0"/>
          <w:sz w:val="32"/>
          <w:szCs w:val="32"/>
          <w:highlight w:val="none"/>
          <w:lang w:eastAsia="zh-CN"/>
        </w:rPr>
        <w:t>提供利用档案</w:t>
      </w:r>
      <w:r>
        <w:rPr>
          <w:rFonts w:hint="eastAsia" w:ascii="仿宋_GB2312" w:hAnsi="仿宋_GB2312" w:eastAsia="仿宋_GB2312" w:cs="仿宋_GB2312"/>
          <w:b w:val="0"/>
          <w:bCs w:val="0"/>
          <w:sz w:val="32"/>
          <w:szCs w:val="32"/>
          <w:highlight w:val="none"/>
          <w:lang w:val="en-US" w:eastAsia="zh-CN"/>
        </w:rPr>
        <w:t>4185</w:t>
      </w:r>
      <w:r>
        <w:rPr>
          <w:rFonts w:hint="eastAsia" w:ascii="仿宋_GB2312" w:hAnsi="仿宋_GB2312" w:eastAsia="仿宋_GB2312" w:cs="仿宋_GB2312"/>
          <w:b w:val="0"/>
          <w:bCs w:val="0"/>
          <w:sz w:val="32"/>
          <w:szCs w:val="32"/>
          <w:highlight w:val="none"/>
          <w:lang w:eastAsia="zh-CN"/>
        </w:rPr>
        <w:t>人次、</w:t>
      </w:r>
      <w:r>
        <w:rPr>
          <w:rFonts w:hint="eastAsia" w:ascii="仿宋_GB2312" w:hAnsi="仿宋_GB2312" w:eastAsia="仿宋_GB2312" w:cs="仿宋_GB2312"/>
          <w:b w:val="0"/>
          <w:bCs w:val="0"/>
          <w:sz w:val="32"/>
          <w:szCs w:val="32"/>
          <w:highlight w:val="none"/>
          <w:lang w:val="en-US" w:eastAsia="zh-CN"/>
        </w:rPr>
        <w:t>5485</w:t>
      </w:r>
      <w:r>
        <w:rPr>
          <w:rFonts w:hint="eastAsia" w:ascii="仿宋_GB2312" w:hAnsi="仿宋_GB2312" w:eastAsia="仿宋_GB2312" w:cs="仿宋_GB2312"/>
          <w:b w:val="0"/>
          <w:bCs w:val="0"/>
          <w:sz w:val="32"/>
          <w:szCs w:val="32"/>
          <w:highlight w:val="none"/>
          <w:lang w:eastAsia="zh-CN"/>
        </w:rPr>
        <w:t>卷次，复印档案</w:t>
      </w:r>
      <w:r>
        <w:rPr>
          <w:rFonts w:hint="eastAsia" w:ascii="仿宋_GB2312" w:hAnsi="仿宋_GB2312" w:eastAsia="仿宋_GB2312" w:cs="仿宋_GB2312"/>
          <w:b w:val="0"/>
          <w:bCs w:val="0"/>
          <w:sz w:val="32"/>
          <w:szCs w:val="32"/>
          <w:highlight w:val="none"/>
          <w:lang w:val="en-US" w:eastAsia="zh-CN"/>
        </w:rPr>
        <w:t>2.2</w:t>
      </w:r>
      <w:r>
        <w:rPr>
          <w:rFonts w:hint="eastAsia" w:ascii="仿宋_GB2312" w:hAnsi="仿宋_GB2312" w:eastAsia="仿宋_GB2312" w:cs="仿宋_GB2312"/>
          <w:b w:val="0"/>
          <w:bCs w:val="0"/>
          <w:sz w:val="32"/>
          <w:szCs w:val="32"/>
          <w:highlight w:val="none"/>
          <w:lang w:eastAsia="zh-CN"/>
        </w:rPr>
        <w:t>万余页。</w:t>
      </w: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p>
      <w:pPr>
        <w:spacing w:line="580" w:lineRule="exact"/>
        <w:rPr>
          <w:rFonts w:hint="eastAsia" w:ascii="仿宋_GB2312" w:hAnsi="仿宋_GB2312" w:eastAsia="仿宋_GB2312" w:cs="仿宋_GB2312"/>
          <w:b w:val="0"/>
          <w:bCs w:val="0"/>
          <w:sz w:val="32"/>
          <w:szCs w:val="32"/>
          <w:lang w:eastAsia="zh-CN"/>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06"/>
        <w:gridCol w:w="85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数字化档案馆建设项目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攀枝花市仁和区档案馆</w:t>
            </w: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705"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2019年完成仁和区档案馆馆藏30万页涉及民生档案全文数字化扫描加工工作</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完成16个全宗30.7万页8.61万条档案全文数字化工作。同时，对15个全宗4908卷1.08万件29.65万条档案全文数字化的数据进行了检查。</w:t>
            </w:r>
          </w:p>
        </w:tc>
      </w:tr>
      <w:tr>
        <w:tblPrEx>
          <w:tblCellMar>
            <w:top w:w="0" w:type="dxa"/>
            <w:left w:w="0" w:type="dxa"/>
            <w:bottom w:w="0" w:type="dxa"/>
            <w:right w:w="0" w:type="dxa"/>
          </w:tblCellMar>
        </w:tblPrEx>
        <w:trPr>
          <w:trHeight w:val="889" w:hRule="atLeast"/>
          <w:jc w:val="center"/>
        </w:trPr>
        <w:tc>
          <w:tcPr>
            <w:tcW w:w="906"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涉及民生的纸质档案全文数字化扫描加工工作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馆藏30万页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馆藏30.7万页</w:t>
            </w:r>
          </w:p>
        </w:tc>
      </w:tr>
      <w:tr>
        <w:tblPrEx>
          <w:tblCellMar>
            <w:top w:w="0" w:type="dxa"/>
            <w:left w:w="0" w:type="dxa"/>
            <w:bottom w:w="0" w:type="dxa"/>
            <w:right w:w="0" w:type="dxa"/>
          </w:tblCellMar>
        </w:tblPrEx>
        <w:trPr>
          <w:trHeight w:val="1034"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当年计划馆藏档案全文数字化率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863"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按时完成</w:t>
            </w:r>
          </w:p>
        </w:tc>
      </w:tr>
      <w:tr>
        <w:tblPrEx>
          <w:tblCellMar>
            <w:top w:w="0" w:type="dxa"/>
            <w:left w:w="0" w:type="dxa"/>
            <w:bottom w:w="0" w:type="dxa"/>
            <w:right w:w="0" w:type="dxa"/>
          </w:tblCellMar>
        </w:tblPrEx>
        <w:trPr>
          <w:trHeight w:val="899"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纸质档案全文数字化扫描加工经费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971"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通过项目的实施，提高民生档案查询的查全率和查准率，为利用者提供快捷、便捷的档案服务；有效保护实体档案；完善异地备份电子数据库建设；有效抢救馆藏实体档案</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906"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档案管理部门满意度、档案利用者满意度</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设施设备运行经费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攀枝花市仁和区档案馆</w:t>
            </w: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705"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sz w:val="24"/>
              </w:rPr>
              <w:t>保证2019年1月-12月档案馆电费开支；确保磁盘阵列、服务器、空调、除湿机、电脑等专用设备的正常运行以及老旧设施设备的更新更换开支</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确保</w:t>
            </w:r>
            <w:r>
              <w:rPr>
                <w:rFonts w:hint="eastAsia" w:ascii="宋体" w:hAnsi="宋体" w:cs="宋体"/>
                <w:color w:val="000000"/>
                <w:sz w:val="24"/>
                <w:lang w:val="en-US" w:eastAsia="zh-CN"/>
              </w:rPr>
              <w:t>了</w:t>
            </w:r>
            <w:r>
              <w:rPr>
                <w:rFonts w:hint="eastAsia" w:ascii="宋体" w:hAnsi="宋体" w:cs="宋体"/>
                <w:color w:val="000000"/>
                <w:sz w:val="24"/>
              </w:rPr>
              <w:t>磁盘阵列、服务器、空调、除湿机、电脑等专用设备的正常运行以及老旧设施设备的更新</w:t>
            </w:r>
            <w:r>
              <w:rPr>
                <w:rFonts w:hint="eastAsia" w:ascii="宋体" w:hAnsi="宋体" w:cs="宋体"/>
                <w:color w:val="000000"/>
                <w:sz w:val="24"/>
                <w:lang w:val="en-US" w:eastAsia="zh-CN"/>
              </w:rPr>
              <w:t>维护。</w:t>
            </w:r>
          </w:p>
        </w:tc>
      </w:tr>
      <w:tr>
        <w:tblPrEx>
          <w:tblCellMar>
            <w:top w:w="0" w:type="dxa"/>
            <w:left w:w="0" w:type="dxa"/>
            <w:bottom w:w="0" w:type="dxa"/>
            <w:right w:w="0" w:type="dxa"/>
          </w:tblCellMar>
        </w:tblPrEx>
        <w:trPr>
          <w:trHeight w:val="889" w:hRule="atLeast"/>
          <w:jc w:val="center"/>
        </w:trPr>
        <w:tc>
          <w:tcPr>
            <w:tcW w:w="906"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档案馆库房电费及设备维护费开支，及时更新更换老旧设施设备。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1台磁盘阵列、1台服务器、15台空调、5台除湿机、10台电脑等专用设备的正常运行。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确保1台磁盘阵列、1台服务器、15台空调、5台除湿机、10台电脑等专用设备的正常运行。</w:t>
            </w:r>
          </w:p>
        </w:tc>
      </w:tr>
      <w:tr>
        <w:tblPrEx>
          <w:tblCellMar>
            <w:top w:w="0" w:type="dxa"/>
            <w:left w:w="0" w:type="dxa"/>
            <w:bottom w:w="0" w:type="dxa"/>
            <w:right w:w="0" w:type="dxa"/>
          </w:tblCellMar>
        </w:tblPrEx>
        <w:trPr>
          <w:trHeight w:val="879"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及时支付电费和设备维护费</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及时支付电费和设备维护费</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支付电费和设备维护费</w:t>
            </w:r>
            <w:r>
              <w:rPr>
                <w:rFonts w:hint="eastAsia" w:ascii="宋体" w:hAnsi="宋体" w:cs="宋体"/>
                <w:color w:val="000000"/>
                <w:sz w:val="24"/>
                <w:lang w:val="en-US" w:eastAsia="zh-CN"/>
              </w:rPr>
              <w:t>达到</w:t>
            </w:r>
            <w:r>
              <w:rPr>
                <w:rFonts w:hint="eastAsia" w:ascii="宋体" w:hAnsi="宋体" w:cs="宋体"/>
                <w:color w:val="000000"/>
                <w:sz w:val="24"/>
              </w:rPr>
              <w:t>100%</w:t>
            </w:r>
          </w:p>
        </w:tc>
      </w:tr>
      <w:tr>
        <w:tblPrEx>
          <w:tblCellMar>
            <w:top w:w="0" w:type="dxa"/>
            <w:left w:w="0" w:type="dxa"/>
            <w:bottom w:w="0" w:type="dxa"/>
            <w:right w:w="0" w:type="dxa"/>
          </w:tblCellMar>
        </w:tblPrEx>
        <w:trPr>
          <w:trHeight w:val="720"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按时完成</w:t>
            </w:r>
          </w:p>
        </w:tc>
      </w:tr>
      <w:tr>
        <w:tblPrEx>
          <w:tblCellMar>
            <w:top w:w="0" w:type="dxa"/>
            <w:left w:w="0" w:type="dxa"/>
            <w:bottom w:w="0" w:type="dxa"/>
            <w:right w:w="0" w:type="dxa"/>
          </w:tblCellMar>
        </w:tblPrEx>
        <w:trPr>
          <w:trHeight w:val="780"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设施设备运行维护费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971"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确保档案馆专用服务器等设施设备的能正常运行，使档案馆档案查询系统运行正常，馆藏档案温湿度控制在标准范围内，延长档案寿命，达到档案保管保护要求，确保档案的安全</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906"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档案管理部门满意度、档案利用者满意度</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档案利用工作经费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攀枝花市仁和区档案馆</w:t>
            </w: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27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705"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用于支付2019年1月-2019年12月档案馆对外查借阅档案所需办公设备维护、更新及耗材费用。保证2019年档案查借阅工作正常运行</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提供利用档案2805人次、4317卷次，复印档案1.74万余页。</w:t>
            </w:r>
          </w:p>
        </w:tc>
      </w:tr>
      <w:tr>
        <w:tblPrEx>
          <w:tblCellMar>
            <w:top w:w="0" w:type="dxa"/>
            <w:left w:w="0" w:type="dxa"/>
            <w:bottom w:w="0" w:type="dxa"/>
            <w:right w:w="0" w:type="dxa"/>
          </w:tblCellMar>
        </w:tblPrEx>
        <w:trPr>
          <w:trHeight w:val="889" w:hRule="atLeast"/>
          <w:jc w:val="center"/>
        </w:trPr>
        <w:tc>
          <w:tcPr>
            <w:tcW w:w="906"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5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对外查借阅档案所需办公设备及耗材维护、更新。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查借阅4000余人次。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highlight w:val="none"/>
                <w:lang w:val="en-US" w:eastAsia="zh-CN"/>
              </w:rPr>
              <w:t>提供利用档案4185人次。</w:t>
            </w:r>
          </w:p>
        </w:tc>
      </w:tr>
      <w:tr>
        <w:tblPrEx>
          <w:tblCellMar>
            <w:top w:w="0" w:type="dxa"/>
            <w:left w:w="0" w:type="dxa"/>
            <w:bottom w:w="0" w:type="dxa"/>
            <w:right w:w="0" w:type="dxa"/>
          </w:tblCellMar>
        </w:tblPrEx>
        <w:trPr>
          <w:trHeight w:val="1034"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查档完成率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863"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按时完成</w:t>
            </w:r>
          </w:p>
        </w:tc>
      </w:tr>
      <w:tr>
        <w:tblPrEx>
          <w:tblCellMar>
            <w:top w:w="0" w:type="dxa"/>
            <w:left w:w="0" w:type="dxa"/>
            <w:bottom w:w="0" w:type="dxa"/>
            <w:right w:w="0" w:type="dxa"/>
          </w:tblCellMar>
        </w:tblPrEx>
        <w:trPr>
          <w:trHeight w:val="899"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档案利用经费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971" w:hRule="atLeast"/>
          <w:jc w:val="center"/>
        </w:trPr>
        <w:tc>
          <w:tcPr>
            <w:tcW w:w="906"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保证全年仁和区档案馆每年约4000余人次的档案查借阅工作的正常运行，解决群众办理结婚、购房、公证、工龄认定等问题和困难，为人民群众办事、为机关单位工作查考、为社会经济发展提供优质快捷的档案服务</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906"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5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档案管理部门满意度、档案利用者满意度</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w:t>
            </w:r>
          </w:p>
        </w:tc>
      </w:tr>
    </w:tbl>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攀枝花市仁和区档案馆</w:t>
      </w:r>
      <w:r>
        <w:rPr>
          <w:rFonts w:hint="eastAsia" w:ascii="仿宋_GB2312" w:hAnsi="仿宋_GB2312" w:eastAsia="仿宋_GB2312" w:cs="仿宋_GB2312"/>
          <w:sz w:val="32"/>
          <w:szCs w:val="32"/>
        </w:rPr>
        <w:t>2019年部门整体支出绩效评价报告》见附件（附件1）。</w:t>
      </w:r>
    </w:p>
    <w:p>
      <w:pPr>
        <w:pageBreakBefore w:val="0"/>
        <w:kinsoku/>
        <w:wordWrap/>
        <w:overflowPunct/>
        <w:topLinePunct w:val="0"/>
        <w:bidi w:val="0"/>
        <w:spacing w:line="560" w:lineRule="exact"/>
        <w:ind w:firstLine="640" w:firstLineChars="200"/>
        <w:textAlignment w:val="auto"/>
        <w:rPr>
          <w:rFonts w:ascii="仿宋_GB2312" w:eastAsia="仿宋_GB2312"/>
          <w:b/>
          <w:color w:val="000000"/>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自行组织对数字化档案馆建设项目开展了绩效评价，《数字化档案馆建设项目2019年绩效评价报告》见附件（附件2）。</w:t>
      </w:r>
    </w:p>
    <w:p>
      <w:pPr>
        <w:pageBreakBefore w:val="0"/>
        <w:widowControl/>
        <w:kinsoku/>
        <w:wordWrap/>
        <w:overflowPunct/>
        <w:topLinePunct w:val="0"/>
        <w:bidi w:val="0"/>
        <w:spacing w:line="560" w:lineRule="exact"/>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4"/>
        </w:numPr>
        <w:kinsoku/>
        <w:wordWrap/>
        <w:overflowPunct/>
        <w:topLinePunct w:val="0"/>
        <w:bidi w:val="0"/>
        <w:spacing w:line="560" w:lineRule="exact"/>
        <w:ind w:firstLine="660" w:firstLineChars="150"/>
        <w:jc w:val="center"/>
        <w:textAlignment w:val="auto"/>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pageBreakBefore w:val="0"/>
        <w:kinsoku/>
        <w:wordWrap/>
        <w:overflowPunct/>
        <w:topLinePunct w:val="0"/>
        <w:bidi w:val="0"/>
        <w:spacing w:line="560" w:lineRule="exact"/>
        <w:jc w:val="left"/>
        <w:textAlignment w:val="auto"/>
        <w:rPr>
          <w:rFonts w:ascii="宋体"/>
          <w:b/>
          <w:color w:val="000000"/>
          <w:sz w:val="44"/>
          <w:szCs w:val="44"/>
        </w:rPr>
      </w:pPr>
    </w:p>
    <w:p>
      <w:pPr>
        <w:pStyle w:val="22"/>
        <w:pageBreakBefore w:val="0"/>
        <w:kinsoku/>
        <w:wordWrap/>
        <w:overflowPunct/>
        <w:topLinePunct w:val="0"/>
        <w:bidi w:val="0"/>
        <w:spacing w:line="560" w:lineRule="exact"/>
        <w:ind w:firstLine="640" w:firstLineChars="200"/>
        <w:textAlignment w:val="auto"/>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2"/>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01行政运行</w:t>
      </w:r>
      <w:r>
        <w:rPr>
          <w:rFonts w:hint="eastAsia" w:ascii="仿宋_GB2312" w:eastAsia="仿宋_GB2312"/>
          <w:color w:val="000000"/>
          <w:sz w:val="32"/>
          <w:szCs w:val="32"/>
        </w:rPr>
        <w:t>：指指机关及参公管理事业单位用于保障机构正常运行、开展日常工作的基本支出。</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项目经费</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04档案馆</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档案全文数据库建设、档案安全保管保护、档案利用项目经费支出</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04未归口管理的行政事业单位离退休</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反映参公管理的事业单位离退休人员支出</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05机关事业单位基本养老保险缴费支出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w:t>
      </w:r>
      <w:r>
        <w:rPr>
          <w:rFonts w:hint="eastAsia" w:ascii="仿宋_GB2312" w:eastAsia="仿宋_GB2312"/>
          <w:color w:val="000000"/>
          <w:sz w:val="32"/>
          <w:szCs w:val="32"/>
          <w:lang w:val="en-US" w:eastAsia="zh-CN"/>
        </w:rPr>
        <w:t>机关事业单位实施养老保险制度由单位缴纳的基本养老保险费支出</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01行政单位医疗</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反映上述项目以外其他用于社会保障和就业方面的支出。</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01住房公积金</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60" w:lineRule="exact"/>
        <w:ind w:firstLine="640" w:firstLineChars="200"/>
        <w:jc w:val="left"/>
        <w:textAlignment w:val="auto"/>
        <w:outlineLvl w:val="0"/>
        <w:rPr>
          <w:rStyle w:val="24"/>
          <w:rFonts w:ascii="黑体" w:hAnsi="黑体" w:eastAsia="黑体"/>
          <w:b w:val="0"/>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pacing w:line="560" w:lineRule="exact"/>
        <w:jc w:val="left"/>
        <w:textAlignment w:val="auto"/>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攀枝花市仁和区档案馆</w:t>
      </w:r>
    </w:p>
    <w:p>
      <w:pPr>
        <w:pageBreakBefore w:val="0"/>
        <w:kinsoku/>
        <w:wordWrap/>
        <w:overflowPunct/>
        <w:topLinePunct w:val="0"/>
        <w:bidi w:val="0"/>
        <w:spacing w:line="560" w:lineRule="exact"/>
        <w:jc w:val="center"/>
        <w:textAlignment w:val="auto"/>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pageBreakBefore w:val="0"/>
        <w:widowControl/>
        <w:kinsoku/>
        <w:wordWrap/>
        <w:overflowPunct/>
        <w:topLinePunct w:val="0"/>
        <w:bidi w:val="0"/>
        <w:adjustRightInd w:val="0"/>
        <w:snapToGrid w:val="0"/>
        <w:spacing w:line="560" w:lineRule="exact"/>
        <w:ind w:firstLine="480" w:firstLineChars="200"/>
        <w:contextualSpacing/>
        <w:jc w:val="left"/>
        <w:textAlignment w:val="auto"/>
        <w:rPr>
          <w:rFonts w:ascii="黑体" w:hAnsi="宋体" w:eastAsia="黑体" w:cs="宋体"/>
          <w:color w:val="000000"/>
          <w:kern w:val="0"/>
          <w:sz w:val="24"/>
          <w:szCs w:val="32"/>
          <w:shd w:val="clear" w:color="auto" w:fill="FFFFFF"/>
        </w:rPr>
      </w:pP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560" w:lineRule="exact"/>
        <w:ind w:left="0" w:lef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en-US" w:eastAsia="zh-CN"/>
        </w:rPr>
        <w:t>仁和区档案馆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区委直属</w:t>
      </w:r>
      <w:r>
        <w:rPr>
          <w:rFonts w:hint="eastAsia" w:ascii="仿宋_GB2312" w:hAnsi="仿宋_GB2312" w:eastAsia="仿宋_GB2312" w:cs="仿宋_GB2312"/>
          <w:sz w:val="32"/>
          <w:szCs w:val="32"/>
          <w:lang w:eastAsia="zh-CN"/>
        </w:rPr>
        <w:t>参公管理事业单位。</w:t>
      </w:r>
    </w:p>
    <w:p>
      <w:pPr>
        <w:pageBreakBefore w:val="0"/>
        <w:widowControl/>
        <w:numPr>
          <w:ilvl w:val="0"/>
          <w:numId w:val="5"/>
        </w:numPr>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72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en-US" w:eastAsia="zh-CN"/>
        </w:rPr>
        <w:t>负责接收、征集、管理档案，有效的保护和利用档案。</w:t>
      </w:r>
    </w:p>
    <w:p>
      <w:pPr>
        <w:pageBreakBefore w:val="0"/>
        <w:widowControl/>
        <w:numPr>
          <w:ilvl w:val="0"/>
          <w:numId w:val="5"/>
        </w:numPr>
        <w:kinsoku/>
        <w:wordWrap/>
        <w:overflowPunct/>
        <w:topLinePunct w:val="0"/>
        <w:bidi w:val="0"/>
        <w:adjustRightInd w:val="0"/>
        <w:snapToGrid w:val="0"/>
        <w:spacing w:line="560" w:lineRule="exact"/>
        <w:ind w:left="0" w:lef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ageBreakBefore w:val="0"/>
        <w:widowControl/>
        <w:numPr>
          <w:ilvl w:val="0"/>
          <w:numId w:val="0"/>
        </w:numPr>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现在岗</w:t>
      </w:r>
      <w:r>
        <w:rPr>
          <w:rFonts w:hint="eastAsia" w:ascii="仿宋_GB2312" w:hAnsi="仿宋_GB2312" w:eastAsia="仿宋_GB2312" w:cs="仿宋_GB2312"/>
          <w:sz w:val="32"/>
          <w:szCs w:val="32"/>
        </w:rPr>
        <w:t>参公人员</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(其中领导2人，工作人员4人)</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我单位201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年度财政拨款收入</w:t>
      </w:r>
      <w:r>
        <w:rPr>
          <w:rFonts w:hint="eastAsia" w:ascii="仿宋_GB2312" w:hAnsi="仿宋_GB2312" w:eastAsia="仿宋_GB2312" w:cs="仿宋_GB2312"/>
          <w:sz w:val="32"/>
          <w:szCs w:val="32"/>
          <w:lang w:val="en-US" w:eastAsia="zh-CN"/>
        </w:rPr>
        <w:t>1,311,158.28</w:t>
      </w:r>
      <w:r>
        <w:rPr>
          <w:rFonts w:hint="eastAsia" w:ascii="仿宋_GB2312" w:hAnsi="仿宋_GB2312" w:eastAsia="仿宋_GB2312" w:cs="仿宋_GB2312"/>
          <w:sz w:val="32"/>
          <w:szCs w:val="32"/>
        </w:rPr>
        <w:t>元，年初财政拨款结转和结余</w:t>
      </w:r>
      <w:r>
        <w:rPr>
          <w:rFonts w:hint="eastAsia" w:ascii="仿宋_GB2312" w:hAnsi="仿宋_GB2312" w:eastAsia="仿宋_GB2312" w:cs="仿宋_GB2312"/>
          <w:sz w:val="32"/>
          <w:szCs w:val="32"/>
          <w:lang w:val="en-US" w:eastAsia="zh-CN"/>
        </w:rPr>
        <w:t>6,796,464.00元</w:t>
      </w:r>
      <w:r>
        <w:rPr>
          <w:rFonts w:hint="eastAsia" w:ascii="仿宋_GB2312" w:hAnsi="仿宋_GB2312" w:eastAsia="仿宋_GB2312" w:cs="仿宋_GB2312"/>
          <w:sz w:val="32"/>
          <w:szCs w:val="32"/>
        </w:rPr>
        <w:t>，本年支出</w:t>
      </w:r>
      <w:r>
        <w:rPr>
          <w:rFonts w:hint="eastAsia" w:ascii="仿宋_GB2312" w:hAnsi="仿宋_GB2312" w:eastAsia="仿宋_GB2312" w:cs="仿宋_GB2312"/>
          <w:sz w:val="32"/>
          <w:szCs w:val="32"/>
          <w:lang w:val="en-US" w:eastAsia="zh-CN"/>
        </w:rPr>
        <w:t>8,106,822.28</w:t>
      </w:r>
      <w:r>
        <w:rPr>
          <w:rFonts w:hint="eastAsia" w:ascii="仿宋_GB2312" w:hAnsi="仿宋_GB2312" w:eastAsia="仿宋_GB2312" w:cs="仿宋_GB2312"/>
          <w:sz w:val="32"/>
          <w:szCs w:val="32"/>
        </w:rPr>
        <w:t>元，年末结转和结余</w:t>
      </w:r>
      <w:r>
        <w:rPr>
          <w:rFonts w:hint="eastAsia" w:ascii="仿宋_GB2312" w:hAnsi="仿宋_GB2312" w:eastAsia="仿宋_GB2312" w:cs="仿宋_GB2312"/>
          <w:sz w:val="32"/>
          <w:szCs w:val="32"/>
          <w:lang w:val="en-US" w:eastAsia="zh-CN"/>
        </w:rPr>
        <w:t>800.00</w:t>
      </w:r>
      <w:r>
        <w:rPr>
          <w:rFonts w:hint="eastAsia" w:ascii="仿宋_GB2312" w:hAnsi="仿宋_GB2312" w:eastAsia="仿宋_GB2312" w:cs="仿宋_GB2312"/>
          <w:sz w:val="32"/>
          <w:szCs w:val="32"/>
        </w:rPr>
        <w:t>元(为</w:t>
      </w:r>
      <w:r>
        <w:rPr>
          <w:rFonts w:hint="eastAsia" w:ascii="仿宋_GB2312" w:hAnsi="仿宋_GB2312" w:eastAsia="仿宋_GB2312" w:cs="仿宋_GB2312"/>
          <w:sz w:val="32"/>
          <w:szCs w:val="32"/>
          <w:lang w:val="en-US" w:eastAsia="zh-CN"/>
        </w:rPr>
        <w:t>A++财务软件运行维护费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1,283,798.00</w:t>
      </w:r>
      <w:r>
        <w:rPr>
          <w:rFonts w:hint="eastAsia" w:ascii="仿宋_GB2312" w:hAnsi="仿宋_GB2312" w:eastAsia="仿宋_GB2312" w:cs="仿宋_GB2312"/>
          <w:sz w:val="32"/>
          <w:szCs w:val="32"/>
        </w:rPr>
        <w:t>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年一般公共预算财政拨款收入</w:t>
      </w:r>
      <w:r>
        <w:rPr>
          <w:rFonts w:hint="eastAsia" w:ascii="仿宋_GB2312" w:hAnsi="仿宋_GB2312" w:eastAsia="仿宋_GB2312" w:cs="仿宋_GB2312"/>
          <w:sz w:val="32"/>
          <w:szCs w:val="32"/>
          <w:lang w:val="en-US" w:eastAsia="zh-CN"/>
        </w:rPr>
        <w:t>1,311,158.28元</w:t>
      </w:r>
      <w:r>
        <w:rPr>
          <w:rFonts w:hint="eastAsia" w:ascii="仿宋_GB2312" w:hAnsi="仿宋_GB2312" w:eastAsia="仿宋_GB2312" w:cs="仿宋_GB2312"/>
          <w:sz w:val="32"/>
          <w:szCs w:val="32"/>
        </w:rPr>
        <w:t>，上年收入为</w:t>
      </w:r>
      <w:r>
        <w:rPr>
          <w:rFonts w:hint="eastAsia" w:ascii="仿宋_GB2312" w:hAnsi="仿宋_GB2312" w:eastAsia="仿宋_GB2312" w:cs="仿宋_GB2312"/>
          <w:sz w:val="32"/>
          <w:szCs w:val="32"/>
          <w:lang w:val="en-US" w:eastAsia="zh-CN"/>
        </w:rPr>
        <w:t>7,837,540.20</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6,526,381.92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，主要为财政应返还额度（档案馆建设项目资金）。</w:t>
      </w:r>
    </w:p>
    <w:p>
      <w:pPr>
        <w:pageBreakBefore w:val="0"/>
        <w:widowControl/>
        <w:numPr>
          <w:ilvl w:val="0"/>
          <w:numId w:val="6"/>
        </w:numPr>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年财政拨款支出决算数</w:t>
      </w:r>
      <w:r>
        <w:rPr>
          <w:rFonts w:hint="eastAsia" w:ascii="仿宋_GB2312" w:hAnsi="仿宋_GB2312" w:eastAsia="仿宋_GB2312" w:cs="仿宋_GB2312"/>
          <w:sz w:val="32"/>
          <w:szCs w:val="32"/>
          <w:lang w:val="en-US" w:eastAsia="zh-CN"/>
        </w:rPr>
        <w:t>8,106,822.28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包括基本支出</w:t>
      </w:r>
      <w:r>
        <w:rPr>
          <w:rFonts w:hint="eastAsia" w:ascii="仿宋_GB2312" w:hAnsi="仿宋_GB2312" w:eastAsia="仿宋_GB2312" w:cs="仿宋_GB2312"/>
          <w:sz w:val="32"/>
          <w:szCs w:val="32"/>
          <w:lang w:val="en-US" w:eastAsia="zh-CN"/>
        </w:rPr>
        <w:t>1,107,731.28</w:t>
      </w:r>
      <w:r>
        <w:rPr>
          <w:rFonts w:hint="eastAsia" w:ascii="仿宋_GB2312" w:hAnsi="仿宋_GB2312" w:eastAsia="仿宋_GB2312" w:cs="仿宋_GB2312"/>
          <w:sz w:val="32"/>
          <w:szCs w:val="32"/>
        </w:rPr>
        <w:t>元（基本支出主要为人员经费</w:t>
      </w:r>
      <w:r>
        <w:rPr>
          <w:rFonts w:hint="eastAsia" w:ascii="仿宋_GB2312" w:hAnsi="仿宋_GB2312" w:eastAsia="仿宋_GB2312" w:cs="仿宋_GB2312"/>
          <w:sz w:val="32"/>
          <w:szCs w:val="32"/>
          <w:lang w:val="en-US" w:eastAsia="zh-CN"/>
        </w:rPr>
        <w:t>988,700.25</w:t>
      </w:r>
      <w:r>
        <w:rPr>
          <w:rFonts w:hint="eastAsia" w:ascii="仿宋_GB2312" w:hAnsi="仿宋_GB2312" w:eastAsia="仿宋_GB2312" w:cs="仿宋_GB2312"/>
          <w:sz w:val="32"/>
          <w:szCs w:val="32"/>
        </w:rPr>
        <w:t>元，日常公用经费</w:t>
      </w:r>
      <w:r>
        <w:rPr>
          <w:rFonts w:hint="eastAsia" w:ascii="仿宋_GB2312" w:hAnsi="仿宋_GB2312" w:eastAsia="仿宋_GB2312" w:cs="仿宋_GB2312"/>
          <w:sz w:val="32"/>
          <w:szCs w:val="32"/>
          <w:lang w:val="en-US" w:eastAsia="zh-CN"/>
        </w:rPr>
        <w:t>119,031.03</w:t>
      </w:r>
      <w:r>
        <w:rPr>
          <w:rFonts w:hint="eastAsia" w:ascii="仿宋_GB2312" w:hAnsi="仿宋_GB2312" w:eastAsia="仿宋_GB2312" w:cs="仿宋_GB2312"/>
          <w:sz w:val="32"/>
          <w:szCs w:val="32"/>
        </w:rPr>
        <w:t>元）；项目支出</w:t>
      </w:r>
      <w:r>
        <w:rPr>
          <w:rFonts w:hint="eastAsia" w:ascii="仿宋_GB2312" w:hAnsi="仿宋_GB2312" w:eastAsia="仿宋_GB2312" w:cs="仿宋_GB2312"/>
          <w:sz w:val="32"/>
          <w:szCs w:val="32"/>
          <w:lang w:val="en-US" w:eastAsia="zh-CN"/>
        </w:rPr>
        <w:t>6,999,091.00</w:t>
      </w:r>
      <w:r>
        <w:rPr>
          <w:rFonts w:hint="eastAsia" w:ascii="仿宋_GB2312" w:hAnsi="仿宋_GB2312" w:eastAsia="仿宋_GB2312" w:cs="仿宋_GB2312"/>
          <w:sz w:val="32"/>
          <w:szCs w:val="32"/>
        </w:rPr>
        <w:t>元(攀枝花市仁和区档案馆建设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6,590,000.00元、预安排新建仁和区综合档案馆前期工作相关经费206,464.00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、数字化档案馆建设工作经费100,000.00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档案馆设施设备运行经费89,991.00元、档案利用工作经费</w:t>
      </w:r>
      <w:r>
        <w:rPr>
          <w:rFonts w:hint="eastAsia" w:ascii="仿宋_GB2312" w:hAnsi="仿宋_GB2312" w:eastAsia="仿宋_GB2312" w:cs="仿宋_GB2312"/>
          <w:sz w:val="32"/>
          <w:szCs w:val="32"/>
          <w:lang w:val="en-US" w:eastAsia="zh-CN"/>
        </w:rPr>
        <w:t>12,636元</w:t>
      </w:r>
      <w:r>
        <w:rPr>
          <w:rFonts w:hint="eastAsia" w:ascii="仿宋_GB2312" w:hAnsi="仿宋_GB2312" w:eastAsia="仿宋_GB2312" w:cs="仿宋_GB2312"/>
          <w:sz w:val="32"/>
          <w:szCs w:val="32"/>
        </w:rPr>
        <w:t>)。</w:t>
      </w:r>
      <w:r>
        <w:rPr>
          <w:rFonts w:hint="eastAsia" w:ascii="宋体" w:hAnsi="宋体" w:eastAsia="宋体" w:cs="宋体"/>
          <w:sz w:val="32"/>
          <w:szCs w:val="32"/>
          <w:lang w:val="zh-CN"/>
        </w:rPr>
        <w:t xml:space="preserve"> </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auto"/>
          <w:sz w:val="32"/>
          <w:szCs w:val="32"/>
        </w:rPr>
        <w:t>按照预算管理有关规定，目前部门预算的编制实行综合预算制度，即全部收入和支出都反映在预算中。201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年仁和区档案</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收入预算总额为</w:t>
      </w:r>
      <w:r>
        <w:rPr>
          <w:rFonts w:hint="eastAsia" w:ascii="仿宋_GB2312" w:hAnsi="仿宋_GB2312" w:eastAsia="仿宋_GB2312" w:cs="仿宋_GB2312"/>
          <w:sz w:val="32"/>
          <w:szCs w:val="32"/>
          <w:lang w:val="en-US" w:eastAsia="zh-CN"/>
        </w:rPr>
        <w:t>1,311,158.28</w:t>
      </w:r>
      <w:r>
        <w:rPr>
          <w:rFonts w:hint="eastAsia" w:ascii="仿宋_GB2312" w:hAnsi="仿宋_GB2312" w:eastAsia="仿宋_GB2312" w:cs="仿宋_GB2312"/>
          <w:color w:val="auto"/>
          <w:sz w:val="32"/>
          <w:szCs w:val="32"/>
        </w:rPr>
        <w:t>元，其中：当年财政拨款收入</w:t>
      </w:r>
      <w:r>
        <w:rPr>
          <w:rFonts w:hint="eastAsia" w:ascii="仿宋_GB2312" w:hAnsi="仿宋_GB2312" w:eastAsia="仿宋_GB2312" w:cs="仿宋_GB2312"/>
          <w:sz w:val="32"/>
          <w:szCs w:val="32"/>
          <w:lang w:val="en-US" w:eastAsia="zh-CN"/>
        </w:rPr>
        <w:t>1,311,158.28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年初财政拨款结转和结余6,796,464.00元，</w:t>
      </w:r>
      <w:r>
        <w:rPr>
          <w:rFonts w:hint="eastAsia" w:ascii="仿宋_GB2312" w:hAnsi="仿宋_GB2312" w:eastAsia="仿宋_GB2312" w:cs="仿宋_GB2312"/>
          <w:color w:val="auto"/>
          <w:sz w:val="32"/>
          <w:szCs w:val="32"/>
        </w:rPr>
        <w:t>相应安排支出预算</w:t>
      </w:r>
      <w:r>
        <w:rPr>
          <w:rFonts w:hint="eastAsia" w:ascii="仿宋_GB2312" w:hAnsi="仿宋_GB2312" w:eastAsia="仿宋_GB2312" w:cs="仿宋_GB2312"/>
          <w:sz w:val="32"/>
          <w:szCs w:val="32"/>
          <w:lang w:val="en-US" w:eastAsia="zh-CN"/>
        </w:rPr>
        <w:t>8,106,822.28</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sz w:val="32"/>
          <w:szCs w:val="32"/>
          <w:lang w:val="en-US" w:eastAsia="zh-CN"/>
        </w:rPr>
        <w:t>960,184.25</w:t>
      </w:r>
      <w:r>
        <w:rPr>
          <w:rFonts w:hint="eastAsia" w:ascii="仿宋_GB2312" w:hAnsi="仿宋_GB2312" w:eastAsia="仿宋_GB2312" w:cs="仿宋_GB2312"/>
          <w:color w:val="auto"/>
          <w:sz w:val="32"/>
          <w:szCs w:val="32"/>
        </w:rPr>
        <w:t>元，日常公用支出</w:t>
      </w:r>
      <w:r>
        <w:rPr>
          <w:rFonts w:hint="eastAsia" w:ascii="仿宋_GB2312" w:hAnsi="仿宋_GB2312" w:eastAsia="仿宋_GB2312" w:cs="仿宋_GB2312"/>
          <w:sz w:val="32"/>
          <w:szCs w:val="32"/>
          <w:lang w:val="en-US" w:eastAsia="zh-CN"/>
        </w:rPr>
        <w:t>119,031.03</w:t>
      </w:r>
      <w:r>
        <w:rPr>
          <w:rFonts w:hint="eastAsia" w:ascii="仿宋_GB2312" w:hAnsi="仿宋_GB2312" w:eastAsia="仿宋_GB2312" w:cs="仿宋_GB2312"/>
          <w:color w:val="auto"/>
          <w:sz w:val="32"/>
          <w:szCs w:val="32"/>
        </w:rPr>
        <w:t>元，对个人和家庭的补助支出</w:t>
      </w:r>
      <w:r>
        <w:rPr>
          <w:rFonts w:hint="eastAsia" w:ascii="仿宋_GB2312" w:hAnsi="仿宋_GB2312" w:eastAsia="仿宋_GB2312" w:cs="仿宋_GB2312"/>
          <w:sz w:val="32"/>
          <w:szCs w:val="32"/>
          <w:lang w:val="en-US" w:eastAsia="zh-CN"/>
        </w:rPr>
        <w:t>28,516.00</w:t>
      </w:r>
      <w:r>
        <w:rPr>
          <w:rFonts w:hint="eastAsia" w:ascii="仿宋_GB2312" w:hAnsi="仿宋_GB2312" w:eastAsia="仿宋_GB2312" w:cs="仿宋_GB2312"/>
          <w:color w:val="auto"/>
          <w:sz w:val="32"/>
          <w:szCs w:val="32"/>
        </w:rPr>
        <w:t>元，项目支出6,999,091.00万元。</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仁和区档案馆</w:t>
      </w:r>
      <w:r>
        <w:rPr>
          <w:rFonts w:hint="eastAsia" w:ascii="仿宋_GB2312" w:hAnsi="仿宋_GB2312" w:eastAsia="仿宋_GB2312" w:cs="仿宋_GB2312"/>
          <w:color w:val="auto"/>
          <w:sz w:val="32"/>
          <w:szCs w:val="32"/>
        </w:rPr>
        <w:t>预算安排支出主要用于保障该部门机构正常运转、完成日常工作任务以及本单位承担的</w:t>
      </w:r>
      <w:r>
        <w:rPr>
          <w:rFonts w:hint="eastAsia" w:ascii="仿宋_GB2312" w:hAnsi="仿宋_GB2312" w:eastAsia="仿宋_GB2312" w:cs="仿宋_GB2312"/>
          <w:color w:val="auto"/>
          <w:sz w:val="32"/>
          <w:szCs w:val="32"/>
          <w:lang w:eastAsia="zh-CN"/>
        </w:rPr>
        <w:t>档案业务管理</w:t>
      </w:r>
      <w:r>
        <w:rPr>
          <w:rFonts w:hint="eastAsia" w:ascii="仿宋_GB2312" w:hAnsi="仿宋_GB2312" w:eastAsia="仿宋_GB2312" w:cs="仿宋_GB2312"/>
          <w:color w:val="auto"/>
          <w:sz w:val="32"/>
          <w:szCs w:val="32"/>
        </w:rPr>
        <w:t>工作。</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基本支出，是用于保障</w:t>
      </w:r>
      <w:r>
        <w:rPr>
          <w:rFonts w:hint="eastAsia" w:ascii="仿宋_GB2312" w:hAnsi="仿宋_GB2312" w:eastAsia="仿宋_GB2312" w:cs="仿宋_GB2312"/>
          <w:color w:val="auto"/>
          <w:sz w:val="32"/>
          <w:szCs w:val="32"/>
          <w:lang w:eastAsia="zh-CN"/>
        </w:rPr>
        <w:t>我馆</w:t>
      </w:r>
      <w:r>
        <w:rPr>
          <w:rFonts w:hint="eastAsia" w:ascii="仿宋_GB2312" w:hAnsi="仿宋_GB2312" w:eastAsia="仿宋_GB2312" w:cs="仿宋_GB2312"/>
          <w:color w:val="auto"/>
          <w:sz w:val="32"/>
          <w:szCs w:val="32"/>
        </w:rPr>
        <w:t>正常运转的日常支出，包括基本工资、津贴补贴、离退休费、住房公积金和日常公用经费等。</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项目支出，是用于保障</w:t>
      </w:r>
      <w:r>
        <w:rPr>
          <w:rFonts w:hint="eastAsia" w:ascii="仿宋_GB2312" w:hAnsi="仿宋_GB2312" w:eastAsia="仿宋_GB2312" w:cs="仿宋_GB2312"/>
          <w:color w:val="auto"/>
          <w:sz w:val="32"/>
          <w:szCs w:val="32"/>
          <w:lang w:eastAsia="zh-CN"/>
        </w:rPr>
        <w:t>我馆档案业务部门</w:t>
      </w:r>
      <w:r>
        <w:rPr>
          <w:rFonts w:hint="eastAsia" w:ascii="仿宋_GB2312" w:hAnsi="仿宋_GB2312" w:eastAsia="仿宋_GB2312" w:cs="仿宋_GB2312"/>
          <w:color w:val="auto"/>
          <w:sz w:val="32"/>
          <w:szCs w:val="32"/>
        </w:rPr>
        <w:t>为完成特定的行政工作任务或事业发展目标，用于专项业务工作的经费支出。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按支出功能分类主要用于以下方面:</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（一）一般公共服务支出</w:t>
      </w:r>
      <w:r>
        <w:rPr>
          <w:rFonts w:hint="eastAsia" w:ascii="仿宋_GB2312" w:hAnsi="仿宋_GB2312" w:eastAsia="仿宋_GB2312" w:cs="仿宋_GB2312"/>
          <w:sz w:val="32"/>
          <w:szCs w:val="32"/>
          <w:lang w:val="en-US" w:eastAsia="zh-CN"/>
        </w:rPr>
        <w:t>7,856,670.98</w:t>
      </w:r>
      <w:r>
        <w:rPr>
          <w:rFonts w:hint="eastAsia" w:ascii="仿宋_GB2312" w:hAnsi="仿宋_GB2312" w:eastAsia="仿宋_GB2312" w:cs="仿宋_GB2312"/>
          <w:color w:val="auto"/>
          <w:sz w:val="32"/>
          <w:szCs w:val="32"/>
        </w:rPr>
        <w:t>元，主要用于人员工资、日常运转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数字化档案馆建设、档案馆设施设备运行</w:t>
      </w:r>
      <w:r>
        <w:rPr>
          <w:rFonts w:hint="eastAsia" w:ascii="仿宋_GB2312" w:hAnsi="仿宋_GB2312" w:eastAsia="仿宋_GB2312" w:cs="仿宋_GB2312"/>
          <w:color w:val="auto"/>
          <w:sz w:val="32"/>
          <w:szCs w:val="32"/>
        </w:rPr>
        <w:t>以及为完成特定行政工作任务和事业发展目标而安排的年度项目支出。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（二）社会保障和就业支出</w:t>
      </w:r>
      <w:r>
        <w:rPr>
          <w:rFonts w:hint="eastAsia" w:ascii="仿宋_GB2312" w:hAnsi="仿宋_GB2312" w:eastAsia="仿宋_GB2312" w:cs="仿宋_GB2312"/>
          <w:sz w:val="32"/>
          <w:szCs w:val="32"/>
          <w:lang w:val="en-US" w:eastAsia="zh-CN"/>
        </w:rPr>
        <w:t>110,142.54</w:t>
      </w:r>
      <w:r>
        <w:rPr>
          <w:rFonts w:hint="eastAsia" w:ascii="仿宋_GB2312" w:hAnsi="仿宋_GB2312" w:eastAsia="仿宋_GB2312" w:cs="仿宋_GB2312"/>
          <w:color w:val="auto"/>
          <w:sz w:val="32"/>
          <w:szCs w:val="32"/>
        </w:rPr>
        <w:t>元，主要用于离退休人员支出。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（三）卫生健康支出</w:t>
      </w:r>
      <w:r>
        <w:rPr>
          <w:rFonts w:hint="eastAsia" w:ascii="仿宋_GB2312" w:hAnsi="仿宋_GB2312" w:eastAsia="仿宋_GB2312" w:cs="仿宋_GB2312"/>
          <w:sz w:val="32"/>
          <w:szCs w:val="32"/>
          <w:lang w:val="en-US" w:eastAsia="zh-CN"/>
        </w:rPr>
        <w:t>41,968.76</w:t>
      </w:r>
      <w:r>
        <w:rPr>
          <w:rFonts w:hint="eastAsia" w:ascii="仿宋_GB2312" w:hAnsi="仿宋_GB2312" w:eastAsia="仿宋_GB2312" w:cs="仿宋_GB2312"/>
          <w:color w:val="auto"/>
          <w:sz w:val="32"/>
          <w:szCs w:val="32"/>
        </w:rPr>
        <w:t>元，主要用于按照规定标准为职工缴纳的基本医疗保险及公务员医疗补助等支出。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（四）住房保障支出</w:t>
      </w:r>
      <w:r>
        <w:rPr>
          <w:rFonts w:hint="eastAsia" w:ascii="仿宋_GB2312" w:hAnsi="仿宋_GB2312" w:eastAsia="仿宋_GB2312" w:cs="仿宋_GB2312"/>
          <w:sz w:val="32"/>
          <w:szCs w:val="32"/>
          <w:lang w:val="en-US" w:eastAsia="zh-CN"/>
        </w:rPr>
        <w:t>98,040.00</w:t>
      </w:r>
      <w:r>
        <w:rPr>
          <w:rFonts w:hint="eastAsia" w:ascii="仿宋_GB2312" w:hAnsi="仿宋_GB2312" w:eastAsia="仿宋_GB2312" w:cs="仿宋_GB2312"/>
          <w:color w:val="auto"/>
          <w:sz w:val="32"/>
          <w:szCs w:val="32"/>
        </w:rPr>
        <w:t>元，用于按照规定标准为职工缴纳住房公积金等支出。</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年“三公”经费财政拨款预算数</w:t>
      </w:r>
      <w:r>
        <w:rPr>
          <w:rFonts w:hint="eastAsia" w:ascii="仿宋_GB2312" w:hAnsi="仿宋_GB2312" w:eastAsia="仿宋_GB2312" w:cs="仿宋_GB2312"/>
          <w:color w:val="auto"/>
          <w:sz w:val="32"/>
          <w:szCs w:val="32"/>
          <w:lang w:val="en-US" w:eastAsia="zh-CN"/>
        </w:rPr>
        <w:t>3,030.00</w:t>
      </w:r>
      <w:r>
        <w:rPr>
          <w:rFonts w:hint="eastAsia" w:ascii="仿宋_GB2312" w:hAnsi="仿宋_GB2312" w:eastAsia="仿宋_GB2312" w:cs="仿宋_GB2312"/>
          <w:color w:val="auto"/>
          <w:sz w:val="32"/>
          <w:szCs w:val="32"/>
        </w:rPr>
        <w:t>元，其中：因公出国（境）经费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元，公务接待费</w:t>
      </w:r>
      <w:r>
        <w:rPr>
          <w:rFonts w:hint="eastAsia" w:ascii="仿宋_GB2312" w:hAnsi="仿宋_GB2312" w:eastAsia="仿宋_GB2312" w:cs="仿宋_GB2312"/>
          <w:color w:val="auto"/>
          <w:sz w:val="32"/>
          <w:szCs w:val="32"/>
          <w:lang w:val="en-US" w:eastAsia="zh-CN"/>
        </w:rPr>
        <w:t>3,030.00</w:t>
      </w:r>
      <w:r>
        <w:rPr>
          <w:rFonts w:hint="eastAsia" w:ascii="仿宋_GB2312" w:hAnsi="仿宋_GB2312" w:eastAsia="仿宋_GB2312" w:cs="仿宋_GB2312"/>
          <w:color w:val="auto"/>
          <w:sz w:val="32"/>
          <w:szCs w:val="32"/>
        </w:rPr>
        <w:t>元，公务用车购置及运行维护费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元，公务用车运行维护费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年安排公务接待费预算</w:t>
      </w:r>
      <w:r>
        <w:rPr>
          <w:rFonts w:hint="eastAsia" w:ascii="仿宋_GB2312" w:hAnsi="仿宋_GB2312" w:eastAsia="仿宋_GB2312" w:cs="仿宋_GB2312"/>
          <w:color w:val="auto"/>
          <w:sz w:val="32"/>
          <w:szCs w:val="32"/>
          <w:lang w:val="en-US" w:eastAsia="zh-CN"/>
        </w:rPr>
        <w:t>3,030.00</w:t>
      </w:r>
      <w:r>
        <w:rPr>
          <w:rFonts w:hint="eastAsia" w:ascii="仿宋_GB2312" w:hAnsi="仿宋_GB2312" w:eastAsia="仿宋_GB2312" w:cs="仿宋_GB2312"/>
          <w:color w:val="auto"/>
          <w:sz w:val="32"/>
          <w:szCs w:val="32"/>
        </w:rPr>
        <w:t>元，较201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年预算</w:t>
      </w:r>
      <w:r>
        <w:rPr>
          <w:rFonts w:hint="eastAsia" w:ascii="仿宋_GB2312" w:hAnsi="仿宋_GB2312" w:eastAsia="仿宋_GB2312" w:cs="仿宋_GB2312"/>
          <w:color w:val="auto"/>
          <w:sz w:val="32"/>
          <w:szCs w:val="32"/>
          <w:lang w:val="en-US" w:eastAsia="zh-CN"/>
        </w:rPr>
        <w:t>减少2%</w:t>
      </w:r>
      <w:r>
        <w:rPr>
          <w:rFonts w:hint="eastAsia" w:ascii="仿宋_GB2312" w:hAnsi="仿宋_GB2312" w:eastAsia="仿宋_GB2312" w:cs="仿宋_GB2312"/>
          <w:color w:val="auto"/>
          <w:sz w:val="32"/>
          <w:szCs w:val="32"/>
        </w:rPr>
        <w:t>。</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en-US" w:eastAsia="zh-CN"/>
        </w:rPr>
        <w:t>本单位2019年预算、决算工作严格按照财政相关政策法规规范编制、按时报送。预算执行有力，执行率高，有资金增减时及时调整预算，调整率不超标准。严格执行节能降耗政策，做到不浪费。公务接待不超预算，无公务用车，无公费出国情况。按时按量对本单位预决算进行了公示公开。建立并逐步完善本单位内控制度，及时填报内控制度年度报告。严格执行会计核算和管理制度、政府采购制度、资金支付制度，资金使用合规、安全，保证本单位全年各类资金的正常使用和各项事业的正常运行。</w:t>
      </w:r>
    </w:p>
    <w:p>
      <w:pPr>
        <w:pageBreakBefore w:val="0"/>
        <w:widowControl/>
        <w:numPr>
          <w:ilvl w:val="0"/>
          <w:numId w:val="0"/>
        </w:numPr>
        <w:kinsoku/>
        <w:wordWrap/>
        <w:overflowPunct/>
        <w:topLinePunct w:val="0"/>
        <w:bidi w:val="0"/>
        <w:adjustRightInd w:val="0"/>
        <w:snapToGrid w:val="0"/>
        <w:spacing w:line="560" w:lineRule="exact"/>
        <w:ind w:leftChars="200" w:firstLine="320" w:firstLineChars="1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rPr>
        <w:t>）存在问题。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72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zh-CN"/>
        </w:rPr>
        <w:t>本单位内部控制制度还需完善，已满足不断发展的工作需求。</w:t>
      </w:r>
    </w:p>
    <w:p>
      <w:pPr>
        <w:pageBreakBefore w:val="0"/>
        <w:widowControl/>
        <w:numPr>
          <w:ilvl w:val="0"/>
          <w:numId w:val="6"/>
        </w:numPr>
        <w:kinsoku/>
        <w:wordWrap/>
        <w:overflowPunct/>
        <w:topLinePunct w:val="0"/>
        <w:bidi w:val="0"/>
        <w:adjustRightInd w:val="0"/>
        <w:snapToGrid w:val="0"/>
        <w:spacing w:line="560" w:lineRule="exact"/>
        <w:ind w:left="0" w:lef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72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按照财务工作的相关要求和规范，不断完善本单位财务制度，发现问题及时修正，合理、安全的进行资产管理，确保单位财务工作的正常运行。</w:t>
      </w: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widowControl/>
        <w:numPr>
          <w:ilvl w:val="0"/>
          <w:numId w:val="0"/>
        </w:numPr>
        <w:kinsoku/>
        <w:wordWrap/>
        <w:overflowPunct/>
        <w:topLinePunct w:val="0"/>
        <w:bidi w:val="0"/>
        <w:adjustRightInd w:val="0"/>
        <w:snapToGrid w:val="0"/>
        <w:spacing w:line="560" w:lineRule="exact"/>
        <w:ind w:leftChars="200"/>
        <w:contextualSpacing/>
        <w:jc w:val="left"/>
        <w:textAlignment w:val="auto"/>
        <w:rPr>
          <w:rFonts w:hint="eastAsia" w:ascii="仿宋_GB2312" w:hAnsi="宋体" w:eastAsia="仿宋_GB2312" w:cs="宋体"/>
          <w:color w:val="000000"/>
          <w:kern w:val="0"/>
          <w:sz w:val="32"/>
          <w:szCs w:val="32"/>
          <w:shd w:val="clear" w:color="auto" w:fill="FFFFFF"/>
          <w:lang w:val="zh-CN"/>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hint="eastAsia" w:ascii="黑体" w:hAnsi="黑体" w:eastAsia="黑体" w:cs="黑体"/>
          <w:sz w:val="32"/>
          <w:szCs w:val="32"/>
        </w:rPr>
      </w:pPr>
    </w:p>
    <w:p>
      <w:pPr>
        <w:pageBreakBefore w:val="0"/>
        <w:kinsoku/>
        <w:wordWrap/>
        <w:overflowPunct/>
        <w:topLinePunct w:val="0"/>
        <w:bidi w:val="0"/>
        <w:spacing w:line="560" w:lineRule="exact"/>
        <w:textAlignment w:val="auto"/>
        <w:rPr>
          <w:rFonts w:hint="eastAsia" w:ascii="黑体" w:hAnsi="黑体" w:eastAsia="黑体" w:cs="黑体"/>
          <w:sz w:val="32"/>
          <w:szCs w:val="32"/>
        </w:rPr>
      </w:pPr>
    </w:p>
    <w:p>
      <w:pPr>
        <w:pageBreakBefore w:val="0"/>
        <w:kinsoku/>
        <w:wordWrap/>
        <w:overflowPunct/>
        <w:topLinePunct w:val="0"/>
        <w:bidi w:val="0"/>
        <w:spacing w:line="56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附件2</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数字化档案馆建设</w:t>
      </w:r>
      <w:r>
        <w:rPr>
          <w:rFonts w:hint="eastAsia" w:ascii="方正小标宋简体" w:hAnsi="宋体" w:eastAsia="方正小标宋简体"/>
          <w:color w:val="000000"/>
          <w:kern w:val="0"/>
          <w:sz w:val="44"/>
          <w:szCs w:val="44"/>
          <w:lang w:val="zh-CN"/>
        </w:rPr>
        <w:t>项目</w:t>
      </w:r>
    </w:p>
    <w:p>
      <w:pPr>
        <w:pageBreakBefore w:val="0"/>
        <w:kinsoku/>
        <w:wordWrap/>
        <w:overflowPunct/>
        <w:topLinePunct w:val="0"/>
        <w:bidi w:val="0"/>
        <w:spacing w:line="560" w:lineRule="exact"/>
        <w:jc w:val="center"/>
        <w:textAlignment w:val="auto"/>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textAlignment w:val="auto"/>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spacing w:line="560" w:lineRule="exact"/>
        <w:ind w:firstLine="640" w:firstLineChars="200"/>
        <w:textAlignment w:val="auto"/>
        <w:rPr>
          <w:rFonts w:hint="eastAsia" w:ascii="仿宋_GB2312" w:hAnsi="宋体" w:eastAsia="仿宋"/>
          <w:sz w:val="32"/>
          <w:szCs w:val="32"/>
          <w:lang w:val="en-US" w:eastAsia="zh-CN"/>
        </w:rPr>
      </w:pPr>
      <w:r>
        <w:rPr>
          <w:rFonts w:hint="eastAsia" w:ascii="仿宋" w:hAnsi="仿宋" w:eastAsia="仿宋" w:cs="仿宋_GB2312"/>
          <w:sz w:val="32"/>
          <w:szCs w:val="32"/>
          <w:lang w:eastAsia="zh-CN"/>
        </w:rPr>
        <w:t>按照</w:t>
      </w:r>
      <w:r>
        <w:rPr>
          <w:rFonts w:hint="eastAsia" w:ascii="仿宋" w:hAnsi="仿宋" w:eastAsia="仿宋" w:cs="仿宋_GB2312"/>
          <w:sz w:val="32"/>
          <w:szCs w:val="32"/>
        </w:rPr>
        <w:t>《四川省机关档案工作规范化管理标准》</w:t>
      </w:r>
      <w:r>
        <w:rPr>
          <w:rFonts w:hint="eastAsia" w:ascii="仿宋" w:hAnsi="仿宋" w:eastAsia="仿宋" w:cs="仿宋_GB2312"/>
          <w:sz w:val="32"/>
          <w:szCs w:val="32"/>
          <w:lang w:eastAsia="zh-CN"/>
        </w:rPr>
        <w:t>的具体要求，</w:t>
      </w:r>
      <w:r>
        <w:rPr>
          <w:rFonts w:hint="eastAsia" w:ascii="仿宋" w:hAnsi="仿宋" w:eastAsia="仿宋" w:cs="仿宋_GB2312"/>
          <w:sz w:val="32"/>
          <w:szCs w:val="32"/>
        </w:rPr>
        <w:t>2018年馆藏民生档案全文数字化工作列入全区民生工程范畴。涉及婚姻、户籍、土地承包、计划生育证存根、二孩审批、生育处罚、低保、村民建房、退耕还林</w:t>
      </w:r>
      <w:r>
        <w:rPr>
          <w:rFonts w:hint="eastAsia" w:ascii="仿宋" w:hAnsi="仿宋" w:eastAsia="仿宋" w:cs="仿宋_GB2312"/>
          <w:sz w:val="32"/>
          <w:szCs w:val="32"/>
          <w:lang w:eastAsia="zh-CN"/>
        </w:rPr>
        <w:t>等查询率较高</w:t>
      </w:r>
      <w:r>
        <w:rPr>
          <w:rFonts w:hint="eastAsia" w:ascii="仿宋" w:hAnsi="仿宋" w:eastAsia="仿宋" w:cs="仿宋_GB2312"/>
          <w:sz w:val="32"/>
          <w:szCs w:val="32"/>
        </w:rPr>
        <w:t>。</w:t>
      </w:r>
      <w:r>
        <w:rPr>
          <w:rFonts w:hint="eastAsia" w:ascii="仿宋" w:hAnsi="仿宋" w:eastAsia="仿宋" w:cs="仿宋_GB2312"/>
          <w:sz w:val="32"/>
          <w:szCs w:val="32"/>
          <w:lang w:eastAsia="zh-CN"/>
        </w:rPr>
        <w:t>纸质档案的安全保管条件需进一步加强。全文数字化后，有利于提高涉及民生档案的查全率和查准率，对</w:t>
      </w:r>
      <w:r>
        <w:rPr>
          <w:rFonts w:hint="eastAsia" w:ascii="仿宋" w:hAnsi="仿宋" w:eastAsia="仿宋" w:cs="仿宋_GB2312"/>
          <w:sz w:val="32"/>
          <w:szCs w:val="32"/>
        </w:rPr>
        <w:t>仁和区档案馆馆藏30万页涉及民生档案全文数字化扫描加工工作。</w:t>
      </w:r>
      <w:r>
        <w:rPr>
          <w:rFonts w:hint="eastAsia" w:ascii="仿宋_GB2312" w:hAnsi="宋体" w:eastAsia="仿宋_GB2312"/>
          <w:sz w:val="32"/>
          <w:szCs w:val="32"/>
          <w:lang w:val="zh-CN"/>
        </w:rPr>
        <w:t>项目主管部门</w:t>
      </w:r>
      <w:r>
        <w:rPr>
          <w:rFonts w:hint="eastAsia" w:ascii="仿宋_GB2312" w:hAnsi="宋体" w:eastAsia="仿宋_GB2312"/>
          <w:sz w:val="32"/>
          <w:szCs w:val="32"/>
          <w:lang w:val="en-US" w:eastAsia="zh-CN"/>
        </w:rPr>
        <w:t>仁和区档案馆</w:t>
      </w:r>
      <w:r>
        <w:rPr>
          <w:rFonts w:hint="eastAsia" w:ascii="仿宋_GB2312" w:hAnsi="宋体" w:eastAsia="仿宋_GB2312"/>
          <w:sz w:val="32"/>
          <w:szCs w:val="32"/>
          <w:lang w:val="zh-CN"/>
        </w:rPr>
        <w:t>在该项目管理中的</w:t>
      </w:r>
      <w:r>
        <w:rPr>
          <w:rFonts w:hint="eastAsia" w:ascii="仿宋_GB2312" w:hAnsi="宋体" w:eastAsia="仿宋_GB2312"/>
          <w:sz w:val="32"/>
          <w:szCs w:val="32"/>
          <w:lang w:val="en-US" w:eastAsia="zh-CN"/>
        </w:rPr>
        <w:t>对涉及民生的纸质档案进行全文数字化加工，并对加工成果进行检查验收。年初财政预算10万元专项经费保障。全部用于</w:t>
      </w:r>
      <w:r>
        <w:rPr>
          <w:rFonts w:hint="eastAsia" w:ascii="仿宋" w:hAnsi="仿宋" w:eastAsia="仿宋" w:cs="仿宋_GB2312"/>
          <w:sz w:val="32"/>
          <w:szCs w:val="32"/>
        </w:rPr>
        <w:t>馆馆藏涉及民生档案全文数字化扫描加工工作</w:t>
      </w:r>
      <w:r>
        <w:rPr>
          <w:rFonts w:hint="eastAsia" w:ascii="仿宋" w:hAnsi="仿宋" w:eastAsia="仿宋" w:cs="仿宋_GB2312"/>
          <w:sz w:val="32"/>
          <w:szCs w:val="32"/>
          <w:lang w:eastAsia="zh-CN"/>
        </w:rPr>
        <w:t>。</w:t>
      </w:r>
    </w:p>
    <w:p>
      <w:pPr>
        <w:pageBreakBefore w:val="0"/>
        <w:kinsoku/>
        <w:wordWrap/>
        <w:overflowPunct/>
        <w:topLinePunct w:val="0"/>
        <w:bidi w:val="0"/>
        <w:adjustRightInd w:val="0"/>
        <w:snapToGrid w:val="0"/>
        <w:spacing w:line="56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ageBreakBefore w:val="0"/>
        <w:kinsoku/>
        <w:wordWrap/>
        <w:overflowPunct/>
        <w:topLinePunct w:val="0"/>
        <w:bidi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完成30万页涉及民生档案全文数字化扫描加工工作。通过项目的实施，提高民生档案查询的查全率和查准率，为利用者提供快捷、便捷的档案服务；有效保护实体档案；完善异地备份电子数据库建设；有效抢救馆藏实体档案。档案利用者满意度85%以上</w:t>
      </w:r>
      <w:r>
        <w:rPr>
          <w:rFonts w:hint="eastAsia" w:ascii="仿宋" w:hAnsi="仿宋" w:eastAsia="仿宋" w:cs="仿宋_GB2312"/>
          <w:sz w:val="32"/>
          <w:szCs w:val="32"/>
          <w:lang w:eastAsia="zh-CN"/>
        </w:rPr>
        <w:t>。</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ageBreakBefore w:val="0"/>
        <w:kinsoku/>
        <w:wordWrap/>
        <w:overflowPunct/>
        <w:topLinePunct w:val="0"/>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仿宋" w:hAnsi="仿宋" w:eastAsia="仿宋" w:cs="仿宋"/>
          <w:sz w:val="32"/>
          <w:szCs w:val="32"/>
          <w:lang w:val="en-US" w:eastAsia="zh-CN"/>
        </w:rPr>
        <w:t>按照项目绩效评价的要求对项目经费保障、实施情况、完成情况等进行自查打分。并测评是否达到预期的效果和应完成的目标数。</w:t>
      </w:r>
    </w:p>
    <w:p>
      <w:pPr>
        <w:pageBreakBefore w:val="0"/>
        <w:kinsoku/>
        <w:wordWrap/>
        <w:overflowPunct/>
        <w:topLinePunct w:val="0"/>
        <w:bidi w:val="0"/>
        <w:adjustRightInd w:val="0"/>
        <w:snapToGrid w:val="0"/>
        <w:spacing w:line="560" w:lineRule="exact"/>
        <w:textAlignment w:val="auto"/>
        <w:rPr>
          <w:rFonts w:ascii="黑体" w:hAnsi="宋体" w:eastAsia="黑体"/>
          <w:sz w:val="32"/>
          <w:szCs w:val="32"/>
        </w:rPr>
      </w:pPr>
      <w:r>
        <w:rPr>
          <w:rFonts w:hint="eastAsia" w:ascii="黑体" w:hAnsi="宋体" w:eastAsia="黑体"/>
          <w:sz w:val="32"/>
          <w:szCs w:val="32"/>
        </w:rPr>
        <w:t>二、项目资金申报及使用情况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财政年初预算专项经费10万元。</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pageBreakBefore w:val="0"/>
        <w:kinsoku/>
        <w:wordWrap/>
        <w:overflowPunct/>
        <w:topLinePunct w:val="0"/>
        <w:bidi w:val="0"/>
        <w:adjustRightInd w:val="0"/>
        <w:snapToGrid w:val="0"/>
        <w:spacing w:line="560" w:lineRule="exact"/>
        <w:ind w:firstLine="720"/>
        <w:textAlignment w:val="auto"/>
        <w:rPr>
          <w:rFonts w:hint="default" w:ascii="仿宋_GB2312" w:hAnsi="宋体" w:eastAsia="楷体_GB2312"/>
          <w:sz w:val="32"/>
          <w:szCs w:val="32"/>
          <w:lang w:val="en-US" w:eastAsia="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en-US" w:eastAsia="zh-CN"/>
        </w:rPr>
        <w:t>2019年年初预算申报10万余。</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en-US" w:eastAsia="zh-CN"/>
        </w:rPr>
        <w:t>2019年年初财政批复预算10万余。</w:t>
      </w:r>
    </w:p>
    <w:p>
      <w:pPr>
        <w:pageBreakBefore w:val="0"/>
        <w:kinsoku/>
        <w:wordWrap/>
        <w:overflowPunct/>
        <w:topLinePunct w:val="0"/>
        <w:bidi w:val="0"/>
        <w:spacing w:line="560" w:lineRule="exact"/>
        <w:ind w:firstLine="640" w:firstLineChars="200"/>
        <w:textAlignment w:val="auto"/>
        <w:rPr>
          <w:rFonts w:hint="eastAsia" w:ascii="楷体_GB2312" w:hAnsi="宋体" w:eastAsia="楷体_GB2312"/>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_GB2312"/>
          <w:sz w:val="32"/>
          <w:szCs w:val="32"/>
          <w:lang w:eastAsia="zh-CN"/>
        </w:rPr>
        <w:t>项目经费</w:t>
      </w:r>
      <w:r>
        <w:rPr>
          <w:rFonts w:hint="eastAsia" w:ascii="仿宋" w:hAnsi="仿宋" w:eastAsia="仿宋" w:cs="仿宋_GB2312"/>
          <w:sz w:val="32"/>
          <w:szCs w:val="32"/>
          <w:lang w:val="en-US" w:eastAsia="zh-CN"/>
        </w:rPr>
        <w:t>10万元</w:t>
      </w:r>
      <w:r>
        <w:rPr>
          <w:rFonts w:hint="eastAsia" w:ascii="仿宋" w:hAnsi="仿宋" w:eastAsia="仿宋" w:cs="仿宋_GB2312"/>
          <w:sz w:val="32"/>
          <w:szCs w:val="32"/>
          <w:lang w:eastAsia="zh-CN"/>
        </w:rPr>
        <w:t>全部用于开展全文数据库建设中产生各项费用，专款专用。</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项目实施单位财务管理制度健全，严格执行财务管理制度，账务处理及时，会计核算规范。</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w:t>
      </w:r>
    </w:p>
    <w:p>
      <w:pPr>
        <w:pageBreakBefore w:val="0"/>
        <w:numPr>
          <w:ilvl w:val="0"/>
          <w:numId w:val="7"/>
        </w:numPr>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由主要领导亲自抓项目落实，具体由分管领导负责落实，项目采用服务外包的形式实施。</w:t>
      </w:r>
    </w:p>
    <w:p>
      <w:pPr>
        <w:pageBreakBefore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_GB2312" w:hAnsi="宋体" w:eastAsia="仿宋_GB2312"/>
          <w:sz w:val="32"/>
          <w:szCs w:val="32"/>
          <w:lang w:val="en-US" w:eastAsia="zh-CN"/>
        </w:rPr>
      </w:pPr>
      <w:r>
        <w:rPr>
          <w:rFonts w:hint="eastAsia" w:ascii="楷体_GB2312" w:hAnsi="宋体" w:eastAsia="楷体_GB2312"/>
          <w:b/>
          <w:bCs w:val="0"/>
          <w:sz w:val="32"/>
          <w:szCs w:val="32"/>
          <w:lang w:val="zh-CN"/>
        </w:rPr>
        <w:t>（</w:t>
      </w:r>
      <w:r>
        <w:rPr>
          <w:rFonts w:hint="eastAsia" w:ascii="楷体_GB2312" w:hAnsi="宋体" w:eastAsia="楷体_GB2312"/>
          <w:b/>
          <w:bCs w:val="0"/>
          <w:sz w:val="32"/>
          <w:szCs w:val="32"/>
          <w:lang w:val="en-US" w:eastAsia="zh-CN"/>
        </w:rPr>
        <w:t>二</w:t>
      </w:r>
      <w:r>
        <w:rPr>
          <w:rFonts w:hint="eastAsia" w:ascii="楷体_GB2312" w:hAnsi="宋体" w:eastAsia="楷体_GB2312"/>
          <w:b/>
          <w:bCs w:val="0"/>
          <w:sz w:val="32"/>
          <w:szCs w:val="32"/>
          <w:lang w:val="zh-CN"/>
        </w:rPr>
        <w:t>）</w:t>
      </w:r>
      <w:r>
        <w:rPr>
          <w:rFonts w:hint="eastAsia" w:ascii="楷体_GB2312" w:hAnsi="宋体" w:eastAsia="楷体_GB2312"/>
          <w:b/>
          <w:sz w:val="32"/>
          <w:szCs w:val="32"/>
          <w:lang w:val="zh-CN"/>
        </w:rPr>
        <w:t>项目管理情况。</w:t>
      </w:r>
      <w:r>
        <w:rPr>
          <w:rFonts w:hint="eastAsia" w:ascii="仿宋_GB2312" w:hAnsi="宋体" w:eastAsia="仿宋_GB2312"/>
          <w:sz w:val="32"/>
          <w:szCs w:val="32"/>
          <w:lang w:val="zh-CN"/>
        </w:rPr>
        <w:t>结合项目特点，</w:t>
      </w:r>
      <w:r>
        <w:rPr>
          <w:rFonts w:hint="eastAsia" w:ascii="仿宋_GB2312" w:hAnsi="宋体" w:eastAsia="仿宋_GB2312"/>
          <w:sz w:val="32"/>
          <w:szCs w:val="32"/>
          <w:lang w:val="en-US" w:eastAsia="zh-CN"/>
        </w:rPr>
        <w:t>采取项目外包的形式实施。</w:t>
      </w:r>
    </w:p>
    <w:p>
      <w:pPr>
        <w:pageBreakBefore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 w:hAnsi="仿宋" w:eastAsia="仿宋" w:cs="仿宋"/>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cs="仿宋"/>
          <w:sz w:val="32"/>
          <w:szCs w:val="32"/>
          <w:lang w:val="zh-CN"/>
        </w:rPr>
        <w:t>为加强项目管理所采取的监管</w:t>
      </w:r>
      <w:r>
        <w:rPr>
          <w:rFonts w:hint="eastAsia" w:ascii="仿宋" w:hAnsi="仿宋" w:eastAsia="仿宋" w:cs="仿宋"/>
          <w:sz w:val="32"/>
          <w:szCs w:val="32"/>
          <w:lang w:val="en-US" w:eastAsia="zh-CN"/>
        </w:rPr>
        <w:t>采取加工过程全程监控，日常卫生保洁，防治档案受潮受尘；严格执行移交登记制度，保证档案安全</w:t>
      </w:r>
      <w:r>
        <w:rPr>
          <w:rFonts w:hint="eastAsia" w:ascii="仿宋" w:hAnsi="仿宋" w:eastAsia="仿宋" w:cs="仿宋"/>
          <w:sz w:val="32"/>
          <w:szCs w:val="32"/>
          <w:lang w:val="zh-CN"/>
        </w:rPr>
        <w:t>。</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全面完成16个全宗30.7万页8.61万条档案全文数字化工作。同时，对15个全宗4908卷1.08万件29.65万条档案全文数字化的数据进行了检查。</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通过项目的实施，提高民生档案查询的查全率和查准率，为利用者提供快捷、便捷的档案服务；有效保护实体档案；完善异地备份电子数据库建设；有效抢救馆藏实体档案。</w:t>
      </w:r>
      <w:r>
        <w:rPr>
          <w:rFonts w:hint="eastAsia" w:ascii="仿宋_GB2312" w:hAnsi="宋体" w:eastAsia="仿宋_GB2312"/>
          <w:sz w:val="32"/>
          <w:szCs w:val="32"/>
          <w:lang w:val="en-US" w:eastAsia="zh-CN"/>
        </w:rPr>
        <w:t xml:space="preserve">  </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仿宋_GB2312" w:hAnsi="宋体" w:eastAsia="仿宋_GB2312"/>
          <w:sz w:val="32"/>
          <w:szCs w:val="32"/>
          <w:bdr w:val="single" w:color="auto" w:sz="4" w:space="0"/>
          <w:lang w:val="zh-CN"/>
        </w:rPr>
      </w:pPr>
      <w:r>
        <w:rPr>
          <w:rFonts w:hint="eastAsia" w:ascii="仿宋_GB2312" w:hAnsi="仿宋_GB2312" w:eastAsia="仿宋_GB2312" w:cs="仿宋_GB2312"/>
          <w:sz w:val="32"/>
          <w:szCs w:val="32"/>
          <w:lang w:val="en-US" w:eastAsia="zh-CN"/>
        </w:rPr>
        <w:t>逐步完善本单位项目管理制度，及时填报项目绩效表。严格执行会计核算和管理制度、政府采购制度、资金支付制度，资金使用合规、安全，保证本单位全年项目资金的正常使用和各项事业的正常运行。</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ageBreakBefore w:val="0"/>
        <w:kinsoku/>
        <w:wordWrap/>
        <w:overflowPunct/>
        <w:topLinePunct w:val="0"/>
        <w:bidi w:val="0"/>
        <w:spacing w:line="560" w:lineRule="exact"/>
        <w:ind w:firstLine="640" w:firstLineChars="200"/>
        <w:textAlignment w:val="auto"/>
        <w:rPr>
          <w:rFonts w:ascii="仿宋_GB2312" w:hAnsi="宋体" w:eastAsia="仿宋_GB2312"/>
          <w:sz w:val="32"/>
          <w:szCs w:val="32"/>
          <w:lang w:val="zh-CN"/>
        </w:rPr>
      </w:pPr>
      <w:r>
        <w:rPr>
          <w:rFonts w:hint="eastAsia" w:ascii="仿宋" w:hAnsi="仿宋" w:eastAsia="仿宋" w:cs="仿宋_GB2312"/>
          <w:sz w:val="32"/>
          <w:szCs w:val="32"/>
          <w:lang w:eastAsia="zh-CN"/>
        </w:rPr>
        <w:t>馆藏还有部分涉及民生的档案因经费不足不能及时开展全文数字加工工作。</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ageBreakBefore w:val="0"/>
        <w:kinsoku/>
        <w:wordWrap/>
        <w:overflowPunct/>
        <w:topLinePunct w:val="0"/>
        <w:bidi w:val="0"/>
        <w:spacing w:line="56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来年将陆续加大资金争取和投入，保证馆藏全文数据库建设工作有序推进。</w:t>
      </w:r>
    </w:p>
    <w:p>
      <w:pPr>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jc w:val="center"/>
        <w:textAlignment w:val="auto"/>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pageBreakBefore w:val="0"/>
        <w:kinsoku/>
        <w:wordWrap/>
        <w:overflowPunct/>
        <w:topLinePunct w:val="0"/>
        <w:bidi w:val="0"/>
        <w:spacing w:line="560" w:lineRule="exact"/>
        <w:jc w:val="center"/>
        <w:textAlignment w:val="auto"/>
        <w:outlineLvl w:val="0"/>
        <w:rPr>
          <w:rFonts w:ascii="仿宋" w:hAnsi="仿宋" w:eastAsia="仿宋"/>
          <w:b/>
          <w:color w:val="000000"/>
          <w:sz w:val="44"/>
          <w:szCs w:val="44"/>
        </w:rPr>
      </w:pPr>
    </w:p>
    <w:p>
      <w:pPr>
        <w:pStyle w:val="3"/>
        <w:pageBreakBefore w:val="0"/>
        <w:kinsoku/>
        <w:wordWrap/>
        <w:overflowPunct/>
        <w:topLinePunct w:val="0"/>
        <w:bidi w:val="0"/>
        <w:spacing w:line="560" w:lineRule="exact"/>
        <w:textAlignment w:val="auto"/>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pageBreakBefore w:val="0"/>
        <w:kinsoku/>
        <w:wordWrap/>
        <w:overflowPunct/>
        <w:topLinePunct w:val="0"/>
        <w:bidi w:val="0"/>
        <w:spacing w:line="560" w:lineRule="exact"/>
        <w:textAlignment w:val="auto"/>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pageBreakBefore w:val="0"/>
        <w:kinsoku/>
        <w:wordWrap/>
        <w:overflowPunct/>
        <w:topLinePunct w:val="0"/>
        <w:bidi w:val="0"/>
        <w:spacing w:line="560" w:lineRule="exact"/>
        <w:textAlignment w:val="auto"/>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pageBreakBefore w:val="0"/>
        <w:kinsoku/>
        <w:wordWrap/>
        <w:overflowPunct/>
        <w:topLinePunct w:val="0"/>
        <w:bidi w:val="0"/>
        <w:spacing w:line="560" w:lineRule="exact"/>
        <w:textAlignment w:val="auto"/>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pageBreakBefore w:val="0"/>
        <w:kinsoku/>
        <w:wordWrap/>
        <w:overflowPunct/>
        <w:topLinePunct w:val="0"/>
        <w:bidi w:val="0"/>
        <w:spacing w:line="560" w:lineRule="exact"/>
        <w:textAlignment w:val="auto"/>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pageBreakBefore w:val="0"/>
        <w:kinsoku/>
        <w:wordWrap/>
        <w:overflowPunct/>
        <w:topLinePunct w:val="0"/>
        <w:bidi w:val="0"/>
        <w:spacing w:line="56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pageBreakBefore w:val="0"/>
        <w:kinsoku/>
        <w:wordWrap/>
        <w:overflowPunct/>
        <w:topLinePunct w:val="0"/>
        <w:bidi w:val="0"/>
        <w:spacing w:line="560" w:lineRule="exact"/>
        <w:textAlignment w:val="auto"/>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pageBreakBefore w:val="0"/>
        <w:kinsoku/>
        <w:wordWrap/>
        <w:overflowPunct/>
        <w:topLinePunct w:val="0"/>
        <w:bidi w:val="0"/>
        <w:spacing w:line="560" w:lineRule="exact"/>
        <w:textAlignment w:val="auto"/>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pageBreakBefore w:val="0"/>
        <w:kinsoku/>
        <w:wordWrap/>
        <w:overflowPunct/>
        <w:topLinePunct w:val="0"/>
        <w:bidi w:val="0"/>
        <w:spacing w:line="560" w:lineRule="exact"/>
        <w:textAlignment w:val="auto"/>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pageBreakBefore w:val="0"/>
        <w:kinsoku/>
        <w:wordWrap/>
        <w:overflowPunct/>
        <w:topLinePunct w:val="0"/>
        <w:bidi w:val="0"/>
        <w:spacing w:line="560" w:lineRule="exact"/>
        <w:textAlignment w:val="auto"/>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pageBreakBefore w:val="0"/>
        <w:kinsoku/>
        <w:wordWrap/>
        <w:overflowPunct/>
        <w:topLinePunct w:val="0"/>
        <w:bidi w:val="0"/>
        <w:spacing w:line="560" w:lineRule="exact"/>
        <w:textAlignment w:val="auto"/>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pageBreakBefore w:val="0"/>
        <w:kinsoku/>
        <w:wordWrap/>
        <w:overflowPunct/>
        <w:topLinePunct w:val="0"/>
        <w:bidi w:val="0"/>
        <w:spacing w:line="560" w:lineRule="exact"/>
        <w:textAlignment w:val="auto"/>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pageBreakBefore w:val="0"/>
        <w:kinsoku/>
        <w:wordWrap/>
        <w:overflowPunct/>
        <w:topLinePunct w:val="0"/>
        <w:bidi w:val="0"/>
        <w:spacing w:line="560" w:lineRule="exact"/>
        <w:textAlignment w:val="auto"/>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C29B"/>
    <w:multiLevelType w:val="singleLevel"/>
    <w:tmpl w:val="9A72C29B"/>
    <w:lvl w:ilvl="0" w:tentative="0">
      <w:start w:val="2"/>
      <w:numFmt w:val="chineseCounting"/>
      <w:suff w:val="nothing"/>
      <w:lvlText w:val="（%1）"/>
      <w:lvlJc w:val="left"/>
      <w:rPr>
        <w:rFonts w:hint="eastAsia"/>
      </w:rPr>
    </w:lvl>
  </w:abstractNum>
  <w:abstractNum w:abstractNumId="1">
    <w:nsid w:val="ADB112CE"/>
    <w:multiLevelType w:val="singleLevel"/>
    <w:tmpl w:val="ADB112CE"/>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070A3AA"/>
    <w:multiLevelType w:val="singleLevel"/>
    <w:tmpl w:val="1070A3AA"/>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B8F6C56"/>
    <w:multiLevelType w:val="singleLevel"/>
    <w:tmpl w:val="6B8F6C56"/>
    <w:lvl w:ilvl="0" w:tentative="0">
      <w:start w:val="2"/>
      <w:numFmt w:val="chineseCounting"/>
      <w:suff w:val="nothing"/>
      <w:lvlText w:val="（%1）"/>
      <w:lvlJc w:val="left"/>
      <w:rPr>
        <w:rFonts w:hint="eastAsia"/>
      </w:r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4D9C"/>
    <w:rsid w:val="00335A74"/>
    <w:rsid w:val="0036561B"/>
    <w:rsid w:val="0037013F"/>
    <w:rsid w:val="00372D6B"/>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5F560B"/>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6C9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565D3"/>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37935"/>
    <w:rsid w:val="00C42709"/>
    <w:rsid w:val="00C533CC"/>
    <w:rsid w:val="00C5751C"/>
    <w:rsid w:val="00C61BFC"/>
    <w:rsid w:val="00C62B85"/>
    <w:rsid w:val="00C65438"/>
    <w:rsid w:val="00C91CBB"/>
    <w:rsid w:val="00CB4E70"/>
    <w:rsid w:val="00CC09B6"/>
    <w:rsid w:val="00CC666F"/>
    <w:rsid w:val="00CD1E3F"/>
    <w:rsid w:val="00CD354B"/>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47A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35F5"/>
    <w:rsid w:val="00F754A1"/>
    <w:rsid w:val="00F81FD9"/>
    <w:rsid w:val="00F841AA"/>
    <w:rsid w:val="00F84A94"/>
    <w:rsid w:val="00F87E96"/>
    <w:rsid w:val="00FA23E8"/>
    <w:rsid w:val="00FD3CC1"/>
    <w:rsid w:val="00FF1E02"/>
    <w:rsid w:val="00FF30B4"/>
    <w:rsid w:val="09942613"/>
    <w:rsid w:val="0BC055A7"/>
    <w:rsid w:val="10446E24"/>
    <w:rsid w:val="10C055FF"/>
    <w:rsid w:val="16BB723D"/>
    <w:rsid w:val="227E7EAA"/>
    <w:rsid w:val="240371BF"/>
    <w:rsid w:val="267D1BDD"/>
    <w:rsid w:val="268C1E61"/>
    <w:rsid w:val="27647E93"/>
    <w:rsid w:val="29FD04D3"/>
    <w:rsid w:val="2A404069"/>
    <w:rsid w:val="2DA513EC"/>
    <w:rsid w:val="319F7F4E"/>
    <w:rsid w:val="343E47C4"/>
    <w:rsid w:val="35B30A04"/>
    <w:rsid w:val="35DD3B08"/>
    <w:rsid w:val="364B15AD"/>
    <w:rsid w:val="3B92334E"/>
    <w:rsid w:val="3C8E7E1D"/>
    <w:rsid w:val="3CBC486B"/>
    <w:rsid w:val="3CFC7A8F"/>
    <w:rsid w:val="3F3A237C"/>
    <w:rsid w:val="3FAA7D7D"/>
    <w:rsid w:val="410C694A"/>
    <w:rsid w:val="44FE6A54"/>
    <w:rsid w:val="45706F0C"/>
    <w:rsid w:val="459B1A6F"/>
    <w:rsid w:val="48B00209"/>
    <w:rsid w:val="4A4F3C96"/>
    <w:rsid w:val="4E323816"/>
    <w:rsid w:val="4E86609F"/>
    <w:rsid w:val="4ECE2238"/>
    <w:rsid w:val="4FB8781A"/>
    <w:rsid w:val="505642B2"/>
    <w:rsid w:val="513F3718"/>
    <w:rsid w:val="52355F6E"/>
    <w:rsid w:val="529D258E"/>
    <w:rsid w:val="52EB77D3"/>
    <w:rsid w:val="55817495"/>
    <w:rsid w:val="649860EE"/>
    <w:rsid w:val="66975E0E"/>
    <w:rsid w:val="695B04FD"/>
    <w:rsid w:val="6D921870"/>
    <w:rsid w:val="70871AD7"/>
    <w:rsid w:val="72734D90"/>
    <w:rsid w:val="74D77BF1"/>
    <w:rsid w:val="76C20C2D"/>
    <w:rsid w:val="775338CE"/>
    <w:rsid w:val="7AF42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58F65-F68C-401D-A43D-1E04BC15A22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1337</Words>
  <Characters>7621</Characters>
  <Lines>63</Lines>
  <Paragraphs>17</Paragraphs>
  <TotalTime>1</TotalTime>
  <ScaleCrop>false</ScaleCrop>
  <LinksUpToDate>false</LinksUpToDate>
  <CharactersWithSpaces>8941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张天涯</cp:lastModifiedBy>
  <cp:lastPrinted>2020-10-29T09:38:00Z</cp:lastPrinted>
  <dcterms:modified xsi:type="dcterms:W3CDTF">2021-06-04T03:38:32Z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1AD349F4071947338130E627CE59CF92</vt:lpwstr>
  </property>
</Properties>
</file>