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15" w:right="0" w:hanging="420" w:hangingChars="150"/>
        <w:jc w:val="center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部门（单位）预算项目支出绩效目标申报表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15" w:right="0" w:hanging="315" w:hangingChars="150"/>
        <w:jc w:val="center"/>
        <w:rPr>
          <w:rFonts w:hint="default" w:ascii="方正书宋简体" w:hAnsi="方正书宋简体" w:eastAsia="方正书宋简体" w:cs="方正书宋简体"/>
          <w:kern w:val="2"/>
          <w:sz w:val="21"/>
          <w:szCs w:val="21"/>
        </w:rPr>
      </w:pPr>
      <w:r>
        <w:rPr>
          <w:rFonts w:hint="default" w:ascii="方正书宋简体" w:hAnsi="方正书宋简体" w:eastAsia="方正书宋简体" w:cs="方正书宋简体"/>
          <w:kern w:val="2"/>
          <w:sz w:val="21"/>
          <w:szCs w:val="21"/>
          <w:lang w:val="en-US" w:eastAsia="zh-CN" w:bidi="ar"/>
        </w:rPr>
        <w:t>（2021年度）</w:t>
      </w:r>
    </w:p>
    <w:tbl>
      <w:tblPr>
        <w:tblStyle w:val="2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29"/>
        <w:gridCol w:w="1241"/>
        <w:gridCol w:w="2274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项目名称 </w:t>
            </w:r>
          </w:p>
        </w:tc>
        <w:tc>
          <w:tcPr>
            <w:tcW w:w="31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对外援助干部人才补助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1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攀枝花市第六中学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年度资金总额：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其中：财政拨款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其他资金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总体目标 </w:t>
            </w:r>
          </w:p>
        </w:tc>
        <w:tc>
          <w:tcPr>
            <w:tcW w:w="44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为帮扶学校注入先进教育理念，提升教育教学质量，促进教育均衡发展，推动凉山州脱贫攻坚综合帮扶工作。2、构建“事前绩效目标审核、事中绩效评价督察、事后绩效评估结果运用”的全过程绩效预算管理机制，保质保量完成对外援助干部人才补助经费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绩效指标 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一级指标 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二级指标 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三级指标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对外援助干部人才补助经费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援助学校教育教学质量提高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为帮扶学校注入先进教育理念，提升教育教学质量，促进教育均衡发展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完成时间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2021年1月至12月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对外援助干部人才补助经费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全面推进脱贫攻坚综合帮扶工作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提升帮扶学校教育教学质量，促进教育均衡发展；健全预算绩效管理机制，促进脱贫攻坚综合帮扶工作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持续推进脱贫攻坚综合帮扶工作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持续帮扶学校教育教学质量，促进教育均衡发展，促进脱贫攻坚综合帮扶工作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满意度指标 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对外援助干部和社会满意度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大于95%</w:t>
            </w:r>
          </w:p>
        </w:tc>
      </w:tr>
    </w:tbl>
    <w:p/>
    <w:p/>
    <w:p/>
    <w:p/>
    <w:p/>
    <w:p/>
    <w:p/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15" w:right="0" w:hanging="420" w:hangingChars="150"/>
        <w:jc w:val="center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部门（单位）预算项目支出绩效目标申报表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15" w:right="0" w:hanging="315" w:hangingChars="150"/>
        <w:jc w:val="center"/>
        <w:rPr>
          <w:rFonts w:hint="default" w:ascii="方正书宋简体" w:hAnsi="方正书宋简体" w:eastAsia="方正书宋简体" w:cs="方正书宋简体"/>
          <w:kern w:val="2"/>
          <w:sz w:val="21"/>
          <w:szCs w:val="21"/>
        </w:rPr>
      </w:pPr>
      <w:r>
        <w:rPr>
          <w:rFonts w:hint="default" w:ascii="方正书宋简体" w:hAnsi="方正书宋简体" w:eastAsia="方正书宋简体" w:cs="方正书宋简体"/>
          <w:kern w:val="2"/>
          <w:sz w:val="21"/>
          <w:szCs w:val="21"/>
          <w:lang w:val="en-US" w:eastAsia="zh-CN" w:bidi="ar"/>
        </w:rPr>
        <w:t>（2021年度）</w:t>
      </w:r>
    </w:p>
    <w:tbl>
      <w:tblPr>
        <w:tblStyle w:val="2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50"/>
        <w:gridCol w:w="1174"/>
        <w:gridCol w:w="2338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项目名称 </w:t>
            </w:r>
          </w:p>
        </w:tc>
        <w:tc>
          <w:tcPr>
            <w:tcW w:w="3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攀枝花市第六中学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年度资金总额： 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其中：财政拨款 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其他资金 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总体目标 </w:t>
            </w:r>
          </w:p>
        </w:tc>
        <w:tc>
          <w:tcPr>
            <w:tcW w:w="444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保证学校2021年教育教学工作正常运转。加强校本培训，提高教师的素质，提升教师整体专业素养；合理预算和使用经费，有计划改造学校设施设备，确保初中教育教学的开展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绩效指标 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一级指标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二级指标 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三级指标 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数量指标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聘用临时工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临聘人员13人（其中4人纳入劳务派遣，劳务费由学校自筹一部分）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采购教育教学设备设施、其他零星支出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保障日常正常运转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按要求聘用人员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人员身体健康，具有相应的从业资质，能够完成相应的工作任务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产品质量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符合国家相应质检标准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按工作计划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1-12月按时发放临时工工资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按采购计划、工作计划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1-12月完成，保证正常运转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按标准支付工资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支付各项经费，保证运转成本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全面推进学校各项工作的开展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办学整体规模上一个台阶，真正做到服务于社会、服务于家长、服务于学生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加大对义务教育初中阶段教育可持续发展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学校正常开展教育教学工作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满意度指标 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学生、家长及社会满意度≥90%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日常工作满意度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学生、家长及社会满意度≥90%</w:t>
            </w:r>
          </w:p>
        </w:tc>
      </w:tr>
    </w:tbl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15" w:right="0" w:hanging="420" w:hangingChars="150"/>
        <w:jc w:val="center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部门（单位）预算项目支出绩效目标申报表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15" w:right="0" w:hanging="315" w:hangingChars="150"/>
        <w:jc w:val="center"/>
        <w:rPr>
          <w:rFonts w:hint="default" w:ascii="方正书宋简体" w:hAnsi="方正书宋简体" w:eastAsia="方正书宋简体" w:cs="方正书宋简体"/>
          <w:kern w:val="2"/>
          <w:sz w:val="21"/>
          <w:szCs w:val="21"/>
        </w:rPr>
      </w:pPr>
      <w:r>
        <w:rPr>
          <w:rFonts w:hint="default" w:ascii="方正书宋简体" w:hAnsi="方正书宋简体" w:eastAsia="方正书宋简体" w:cs="方正书宋简体"/>
          <w:kern w:val="2"/>
          <w:sz w:val="21"/>
          <w:szCs w:val="21"/>
          <w:lang w:val="en-US" w:eastAsia="zh-CN" w:bidi="ar"/>
        </w:rPr>
        <w:t>（2021年度）</w:t>
      </w:r>
    </w:p>
    <w:tbl>
      <w:tblPr>
        <w:tblStyle w:val="2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36"/>
        <w:gridCol w:w="1159"/>
        <w:gridCol w:w="2407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项目名称 </w:t>
            </w:r>
          </w:p>
        </w:tc>
        <w:tc>
          <w:tcPr>
            <w:tcW w:w="3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义务教育生均公用经费（初中）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攀枝花市第六中学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5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年度资金总额：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5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其中：财政拨款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5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其他资金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总体目标 </w:t>
            </w:r>
          </w:p>
        </w:tc>
        <w:tc>
          <w:tcPr>
            <w:tcW w:w="44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保证学校2021年教育教学工作正常运转。加强校本培训，提高教师的素质，提升教师整体专业素养；合理预算和使用经费，有计划改造学校设施设备，确保初中教育教学的开展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绩效指标 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一级指标 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三级指标 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购买开学用办公用品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保障469名学生的正常学习生活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产品质量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符合国家相应质检标准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按工作计划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1-12月完成，保证正常运转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保证运转成本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全面推进学校各项工作的开展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办学整体规模上一个台阶，真正做到服务于社会、服务于家长、服务于学生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加大对义务教育初中阶段教育可持续发展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学校正常开展教育教学工作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满意度指标 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学生、家长及社会满意度≥90%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日常工作满意度</w:t>
            </w:r>
          </w:p>
        </w:tc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学生、家长及社会满意度≥90%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34308"/>
    <w:rsid w:val="5D334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2021-03-26T07:56:00Z</dcterms:created>
  <dc:creator>八戒</dc:creator>
  <cp:lastModifiedBy>八戒</cp:lastModifiedBy>
  <dcterms:modified xsi:type="dcterms:W3CDTF">2021-03-26T08:01:12Z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CD80C42F8F984226B96C6F163ADD0DFD</vt:lpwstr>
  </property>
</Properties>
</file>