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（2021年度）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17"/>
        <w:gridCol w:w="1232"/>
        <w:gridCol w:w="250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8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办案、党风廉政建设和巡察专项经费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8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中国共产党攀枝花市仁和区纪律检查委员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pct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350.00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547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547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高举中国特色社会主义伟大旗帜，以习近平新时代中国特色社会主义思想为指导，全面落实十九大作出的战略部署，统筹推进“五位一体”总体布局和协调推进“四个全面”战略布局，增强“四个意识”、坚定“四个自信”，不忘初心、牢记使命，紧紧围绕党的领导、党的建设、全面从严治党、党风廉政建设和反腐败斗争，紧紧围绕维护党中央权威和集中统一领导，推动党内政治生态实现根本好转，履行党章赋予的监督执纪问责职责，建设忠诚干净担当的纪检监察队伍，为决胜全面建成小康社会、夺取新时代中国特色社会主义伟大胜利提供坚强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开展监督检查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全年不少于4次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办理违纪违法案件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全年不少于90件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对村、社区开展延伸巡察工作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20个单位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监督检查方面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规范监督检查行为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办案方面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当年立案移送审理的案件，结案率90%以上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强化政治巡查，查找问题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督促整改，形成震慑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完成时限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2020年12月底前完成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监督检查方面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办理违纪违法案件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270万元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巡查期间发生费用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预期效果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着力解决人民群众反映强烈的问题，切实维护群众切身利益，决不让“四风”反弹回潮，构建作风建设长效机制。激发群众监督正能量，让党风廉政建设和反腐败工作成效惠利于群众；进一步完善党内监督体系，发挥巡察监督的震慑作用，推动全面从严治党在基层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2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71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人民群众满意度</w:t>
            </w:r>
          </w:p>
        </w:tc>
        <w:tc>
          <w:tcPr>
            <w:tcW w:w="1816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≥95%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（2021年度）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00"/>
        <w:gridCol w:w="1207"/>
        <w:gridCol w:w="2390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1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党风廉政建设宣传工作经费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17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中国共产党攀枝花市仁和区纪律检查委员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pct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2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51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511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“七个一”廉洁文化基地链中迤沙拉家风文化的特色家风及庭院文化打造:主要是从“起毛纳张”四大家族中选出1-2户代表，因地制宜打造入户体验民族风情、文化特色等可参与性项目；打造中坝乡廉洁文小院。持续开展党风廉政建设社会评价宣传活动，以群众常用生活品作为宣传载体，将清风仁和的正风廉韵吹向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打造廉洁文化宣传示范点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发放党风廉政建设社会评价宣传品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计划购买宣传品10000份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拍摄警示教育片、宣传片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拍摄1部警示教育片1部宣传片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宣传文化示范点建设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工程质量达标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购买宣传品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质量合格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拍摄警示教育片、宣传片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完成时限</w:t>
            </w:r>
          </w:p>
        </w:tc>
        <w:tc>
          <w:tcPr>
            <w:tcW w:w="181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2021年12月前完成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宣传基地建设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购买宣传品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拍摄警示教育片、宣传片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预期效果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持续开展党风廉政建设社会评价宣传活动，以群众常用生活品作为宣传载体，将清风仁和的正风廉韵吹向全区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0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群众满意度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≥95%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eastAsia="方正书宋简体"/>
        </w:rPr>
      </w:pPr>
      <w:r>
        <w:rPr>
          <w:rFonts w:eastAsia="方正书宋简体"/>
        </w:rPr>
        <w:br w:type="page"/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420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（2021年度）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948"/>
        <w:gridCol w:w="1255"/>
        <w:gridCol w:w="2387"/>
        <w:gridCol w:w="3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199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乡镇街道纪委办案工作经费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199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中国共产党攀枝花市仁和区纪律检查委员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9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91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各乡镇（街道）纪（工）委、各纪检派驻组加强基层党风廉政建设，发挥纪委监督职能，坚决纠正和查处基层损害群众利益问题，认真开展纪律审查工作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各乡镇（街道）纪（工）委、南管委、各纪检派驻组办案数量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每个单位全年不少于4件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办案方面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当年立案案件，结案率100%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完成时限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13个乡镇街道每个单位办案经费1万元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预期效果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发挥纪委监督职能，查办群众身边的四风和腐败问题，让人民群众有更多获得感、安全感、幸福感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400" w:type="pct"/>
            <w:noWrap w:val="0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群众满意度 </w:t>
            </w:r>
          </w:p>
        </w:tc>
        <w:tc>
          <w:tcPr>
            <w:tcW w:w="1799" w:type="pct"/>
            <w:noWrap w:val="0"/>
            <w:vAlign w:val="center"/>
          </w:tcPr>
          <w:p>
            <w:pPr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≥95% </w:t>
            </w:r>
          </w:p>
        </w:tc>
      </w:tr>
    </w:tbl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小标宋简体" w:eastAsia="方正小标宋简体"/>
          <w:sz w:val="28"/>
          <w:szCs w:val="28"/>
        </w:rPr>
      </w:pPr>
      <w:r>
        <w:rPr>
          <w:rFonts w:eastAsia="方正书宋简体"/>
        </w:rPr>
        <w:br w:type="page"/>
      </w:r>
      <w:r>
        <w:rPr>
          <w:rFonts w:hint="eastAsia" w:ascii="方正小标宋简体" w:eastAsia="方正小标宋简体"/>
          <w:sz w:val="28"/>
          <w:szCs w:val="28"/>
        </w:rPr>
        <w:t>部门（单位）预算项目支出绩效目标申报表</w:t>
      </w:r>
    </w:p>
    <w:p>
      <w:pPr>
        <w:tabs>
          <w:tab w:val="right" w:leader="dot" w:pos="9040"/>
          <w:tab w:val="right" w:leader="middleDot" w:pos="9240"/>
        </w:tabs>
        <w:spacing w:line="400" w:lineRule="exact"/>
        <w:ind w:left="315" w:hanging="315" w:hangingChars="150"/>
        <w:jc w:val="center"/>
        <w:rPr>
          <w:rFonts w:hint="eastAsia" w:ascii="方正书宋简体" w:hAnsi="方正书宋简体" w:eastAsia="方正书宋简体" w:cs="方正书宋简体"/>
        </w:rPr>
      </w:pPr>
      <w:r>
        <w:rPr>
          <w:rFonts w:hint="eastAsia" w:ascii="方正书宋简体" w:hAnsi="方正书宋简体" w:eastAsia="方正书宋简体" w:cs="方正书宋简体"/>
        </w:rPr>
        <w:t>（2021年度）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24"/>
        <w:gridCol w:w="1241"/>
        <w:gridCol w:w="2378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项目名称 </w:t>
            </w:r>
          </w:p>
        </w:tc>
        <w:tc>
          <w:tcPr>
            <w:tcW w:w="321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纪检监察信息专网运维费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预算单位</w:t>
            </w:r>
          </w:p>
        </w:tc>
        <w:tc>
          <w:tcPr>
            <w:tcW w:w="321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中国共产党攀枝花市仁和区纪律检查委员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pct"/>
            <w:gridSpan w:val="3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项目资金(万元)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年度资金总额：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其中：财政拨款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pct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其他资金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总体目标 </w:t>
            </w:r>
          </w:p>
        </w:tc>
        <w:tc>
          <w:tcPr>
            <w:tcW w:w="4481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4481" w:type="pct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按照省、市纪委对纪检监察信息专网及保密工作要求，保障区纪检监察信息网正常运行，确保国家秘密安全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绩效指标 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一级指标 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二级指标 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三级指标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项目完成</w:t>
            </w: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数量指标 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按照省、市纪委对纪检监察信息专网及保密工作要求，保障纪检监察信息网络正常运行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按照合同要求，运行维护费4万元/年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纪检监察信息专网分级保护保测评费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按照国家涉密网络分保测评要求，测评通过后支付分保测评费5万元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纪检监察信息专网防火墙更换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电子政务内网服务费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电子政务内网服务费1万元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保障高清视频会议系统正常运行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政法三级网租用费1万元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纪检监察信息化建设费（信访检举举报平台）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质量指标 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网络运行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保障电子政务内网正常运行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网络运行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保障高清视频会议系统正常运行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时效指标 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保障电子政务内网正常运行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保障高清视频会议系统正常运行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2021年1月-12月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成本指标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纪检监察信息专网运行维护费4万元；纪检监察信息专网分级保护保测评费5万元；纪检监察信息专网防火墙更换费4万元；电子政务内网服务费1万元；高清视频会议系统政法三级网租用费1万元。纪检监察信息化建设费（信访检举举报平台）12万元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全年27万元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项目效益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经济效益指标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社会效益指标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保障区纪检监察信息网正常运行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确保国家秘密安全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生态效益指标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可持续影响指标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满意度指标 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 xml:space="preserve">服务对象满意度指标 </w:t>
            </w:r>
          </w:p>
        </w:tc>
        <w:tc>
          <w:tcPr>
            <w:tcW w:w="139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1815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</w:pPr>
            <w:r>
              <w:rPr>
                <w:rFonts w:hint="eastAsia" w:ascii="方正书宋简体" w:hAnsi="宋体" w:eastAsia="方正书宋简体" w:cs="宋体"/>
                <w:kern w:val="0"/>
                <w:sz w:val="16"/>
                <w:szCs w:val="16"/>
              </w:rPr>
              <w:t>≥95%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11F5"/>
    <w:rsid w:val="4BD4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2021-03-24T10:30:00Z</dcterms:created>
  <dc:creator>树上小鸟</dc:creator>
  <cp:lastModifiedBy>树上小鸟</cp:lastModifiedBy>
  <dcterms:modified xsi:type="dcterms:W3CDTF">2021-03-24T10:36:17Z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7DC7FB77D3AF47F8B77B3FBB0BBBC2BB</vt:lpwstr>
  </property>
</Properties>
</file>