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sz w:val="32"/>
          <w:szCs w:val="32"/>
          <w:u w:val="single"/>
        </w:rPr>
      </w:pPr>
      <w:r>
        <w:rPr>
          <w:rFonts w:hint="eastAsia" w:ascii="方正小标宋简体" w:eastAsia="方正小标宋简体"/>
          <w:color w:val="FF0000"/>
          <w:w w:val="31"/>
          <w:sz w:val="160"/>
          <w:szCs w:val="160"/>
          <w:u w:val="single"/>
        </w:rPr>
        <w:t>攀枝花市仁和区</w:t>
      </w:r>
      <w:r>
        <w:rPr>
          <w:rFonts w:hint="eastAsia" w:ascii="方正小标宋简体" w:eastAsia="方正小标宋简体"/>
          <w:color w:val="FF0000"/>
          <w:w w:val="31"/>
          <w:sz w:val="160"/>
          <w:szCs w:val="160"/>
          <w:u w:val="single"/>
          <w:lang w:eastAsia="zh-CN"/>
        </w:rPr>
        <w:t>太平乡</w:t>
      </w:r>
      <w:r>
        <w:rPr>
          <w:rFonts w:hint="eastAsia" w:ascii="方正小标宋简体" w:eastAsia="方正小标宋简体"/>
          <w:color w:val="FF0000"/>
          <w:w w:val="31"/>
          <w:sz w:val="160"/>
          <w:szCs w:val="160"/>
          <w:u w:val="single"/>
        </w:rPr>
        <w:t>卫生院文件</w:t>
      </w:r>
    </w:p>
    <w:p>
      <w:pPr>
        <w:pStyle w:val="5"/>
        <w:widowControl/>
        <w:shd w:val="clear" w:color="050000" w:fill="FFFFFF"/>
        <w:spacing w:beforeAutospacing="0" w:afterAutospacing="0" w:line="378" w:lineRule="atLeast"/>
        <w:jc w:val="center"/>
        <w:rPr>
          <w:rFonts w:hint="eastAsia" w:ascii="宋体" w:cs="宋体"/>
          <w:color w:val="333333"/>
          <w:sz w:val="44"/>
          <w:szCs w:val="44"/>
          <w:shd w:val="clear" w:color="080000" w:fill="FFFFFF"/>
        </w:rPr>
      </w:pPr>
      <w:r>
        <w:rPr>
          <w:rFonts w:hint="eastAsia" w:ascii="宋体" w:hAnsi="宋体" w:cs="宋体"/>
          <w:color w:val="333333"/>
          <w:sz w:val="44"/>
          <w:szCs w:val="44"/>
          <w:shd w:val="clear" w:color="080000" w:fill="FFFFFF"/>
          <w:lang w:eastAsia="zh-CN"/>
        </w:rPr>
        <w:t>太平乡</w:t>
      </w:r>
      <w:r>
        <w:rPr>
          <w:rFonts w:hint="eastAsia" w:ascii="宋体" w:hAnsi="宋体" w:cs="宋体"/>
          <w:color w:val="333333"/>
          <w:sz w:val="44"/>
          <w:szCs w:val="44"/>
          <w:shd w:val="clear" w:color="080000" w:fill="FFFFFF"/>
        </w:rPr>
        <w:t>卫生院</w:t>
      </w:r>
      <w:r>
        <w:rPr>
          <w:rFonts w:hint="eastAsia" w:ascii="????_GBK" w:hAnsi="????_GBK" w:cs="????_GBK"/>
          <w:color w:val="333333"/>
          <w:sz w:val="44"/>
          <w:szCs w:val="44"/>
          <w:shd w:val="clear" w:color="080000" w:fill="FFFFFF"/>
          <w:lang w:eastAsia="zh-CN"/>
        </w:rPr>
        <w:t>2020</w:t>
      </w:r>
      <w:r>
        <w:rPr>
          <w:rFonts w:hint="eastAsia" w:ascii="宋体" w:hAnsi="宋体" w:cs="宋体"/>
          <w:color w:val="333333"/>
          <w:sz w:val="44"/>
          <w:szCs w:val="44"/>
          <w:shd w:val="clear" w:color="080000" w:fill="FFFFFF"/>
        </w:rPr>
        <w:t>年度部门</w:t>
      </w:r>
    </w:p>
    <w:p>
      <w:pPr>
        <w:pStyle w:val="5"/>
        <w:widowControl/>
        <w:shd w:val="clear" w:color="050000" w:fill="FFFFFF"/>
        <w:spacing w:beforeAutospacing="0" w:afterAutospacing="0" w:line="378" w:lineRule="atLeast"/>
        <w:jc w:val="center"/>
        <w:rPr>
          <w:rFonts w:ascii="Times New Roman" w:hAnsi="Times New Roman" w:cs="Times New Roman"/>
          <w:color w:val="333333"/>
          <w:sz w:val="21"/>
          <w:szCs w:val="21"/>
        </w:rPr>
      </w:pPr>
      <w:r>
        <w:rPr>
          <w:rFonts w:hint="eastAsia" w:ascii="宋体" w:hAnsi="宋体" w:cs="宋体"/>
          <w:color w:val="333333"/>
          <w:sz w:val="44"/>
          <w:szCs w:val="44"/>
          <w:shd w:val="clear" w:color="080000" w:fill="FFFFFF"/>
        </w:rPr>
        <w:t>支出绩效自评报告</w:t>
      </w:r>
    </w:p>
    <w:p>
      <w:pPr>
        <w:pStyle w:val="5"/>
        <w:widowControl/>
        <w:shd w:val="clear" w:color="050000" w:fill="FFFFFF"/>
        <w:spacing w:beforeAutospacing="0" w:afterAutospacing="0" w:line="378" w:lineRule="atLeast"/>
        <w:jc w:val="center"/>
        <w:rPr>
          <w:rFonts w:hint="eastAsia" w:ascii="宋体" w:hAnsi="宋体" w:cs="宋体"/>
          <w:color w:val="333333"/>
          <w:sz w:val="44"/>
          <w:szCs w:val="44"/>
          <w:shd w:val="clear" w:color="080000" w:fill="FFFFFF"/>
        </w:rPr>
      </w:pPr>
    </w:p>
    <w:p>
      <w:pPr>
        <w:pStyle w:val="5"/>
        <w:widowControl/>
        <w:shd w:val="clear" w:color="060000" w:fill="FFFFFF"/>
        <w:spacing w:beforeAutospacing="0" w:afterAutospacing="0" w:line="520" w:lineRule="exact"/>
        <w:jc w:val="left"/>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ascii="仿宋_GB2312" w:hAnsi="仿宋_GB2312" w:eastAsia="仿宋_GB2312" w:cs="仿宋_GB2312"/>
          <w:b/>
          <w:bCs/>
          <w:color w:val="333333"/>
          <w:sz w:val="32"/>
          <w:szCs w:val="32"/>
          <w:shd w:val="clear" w:color="090000" w:fill="FFFFFF"/>
        </w:rPr>
        <w:t xml:space="preserve">  </w:t>
      </w:r>
      <w:r>
        <w:rPr>
          <w:rFonts w:hint="eastAsia" w:ascii="仿宋_GB2312" w:hAnsi="仿宋_GB2312" w:eastAsia="仿宋_GB2312" w:cs="仿宋_GB2312"/>
          <w:b/>
          <w:bCs/>
          <w:color w:val="333333"/>
          <w:sz w:val="32"/>
          <w:szCs w:val="32"/>
          <w:shd w:val="clear" w:color="090000" w:fill="FFFFFF"/>
        </w:rPr>
        <w:t>一、</w:t>
      </w:r>
      <w:r>
        <w:rPr>
          <w:rFonts w:ascii="仿宋_GB2312" w:hAnsi="仿宋_GB2312" w:eastAsia="仿宋_GB2312" w:cs="仿宋_GB2312"/>
          <w:b/>
          <w:bCs/>
          <w:color w:val="333333"/>
          <w:sz w:val="32"/>
          <w:szCs w:val="32"/>
          <w:shd w:val="clear" w:color="090000" w:fill="FFFFFF"/>
        </w:rPr>
        <w:t> </w:t>
      </w:r>
      <w:r>
        <w:rPr>
          <w:rFonts w:hint="eastAsia" w:ascii="仿宋_GB2312" w:hAnsi="仿宋_GB2312" w:eastAsia="仿宋_GB2312" w:cs="仿宋_GB2312"/>
          <w:b/>
          <w:bCs/>
          <w:color w:val="333333"/>
          <w:sz w:val="32"/>
          <w:szCs w:val="32"/>
          <w:shd w:val="clear" w:color="090000" w:fill="FFFFFF"/>
        </w:rPr>
        <w:t>部门基本情况</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080000" w:fill="FFFFFF"/>
        </w:rPr>
        <w:t>1.</w:t>
      </w:r>
      <w:r>
        <w:rPr>
          <w:rFonts w:hint="eastAsia" w:ascii="仿宋_GB2312" w:hAnsi="仿宋_GB2312" w:eastAsia="仿宋_GB2312" w:cs="仿宋_GB2312"/>
          <w:color w:val="000000" w:themeColor="text1"/>
          <w:sz w:val="32"/>
          <w:szCs w:val="32"/>
          <w:shd w:val="clear" w:color="080000" w:fill="FFFFFF"/>
        </w:rPr>
        <w:t>单位内设机构和人员编制</w:t>
      </w:r>
    </w:p>
    <w:p>
      <w:pPr>
        <w:spacing w:line="520" w:lineRule="exact"/>
        <w:ind w:firstLine="42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rPr>
        <w:t>太平乡位于攀枝花市西区交界处，幅员面积</w:t>
      </w:r>
      <w:r>
        <w:rPr>
          <w:rFonts w:ascii="仿宋_GB2312" w:hAnsi="仿宋_GB2312" w:eastAsia="仿宋_GB2312" w:cs="仿宋_GB2312"/>
          <w:color w:val="000000" w:themeColor="text1"/>
          <w:sz w:val="32"/>
          <w:szCs w:val="32"/>
        </w:rPr>
        <w:t>228.4</w:t>
      </w:r>
      <w:r>
        <w:rPr>
          <w:rFonts w:hint="eastAsia" w:ascii="仿宋_GB2312" w:hAnsi="仿宋_GB2312" w:eastAsia="仿宋_GB2312" w:cs="仿宋_GB2312"/>
          <w:color w:val="000000" w:themeColor="text1"/>
          <w:sz w:val="32"/>
          <w:szCs w:val="32"/>
        </w:rPr>
        <w:t>平方公里，总人口</w:t>
      </w:r>
      <w:r>
        <w:rPr>
          <w:rFonts w:hint="eastAsia" w:ascii="仿宋_GB2312" w:hAnsi="仿宋_GB2312" w:eastAsia="仿宋_GB2312" w:cs="仿宋_GB2312"/>
          <w:color w:val="000000" w:themeColor="text1"/>
          <w:sz w:val="32"/>
          <w:szCs w:val="32"/>
          <w:lang w:eastAsia="zh-CN"/>
        </w:rPr>
        <w:t>为</w:t>
      </w:r>
      <w:r>
        <w:rPr>
          <w:rFonts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lang w:val="en-US" w:eastAsia="zh-CN"/>
        </w:rPr>
        <w:t>1</w:t>
      </w:r>
      <w:r>
        <w:rPr>
          <w:rFonts w:ascii="仿宋_GB2312" w:hAnsi="仿宋_GB2312" w:eastAsia="仿宋_GB2312" w:cs="仿宋_GB2312"/>
          <w:color w:val="000000" w:themeColor="text1"/>
          <w:sz w:val="32"/>
          <w:szCs w:val="32"/>
        </w:rPr>
        <w:t>55</w:t>
      </w:r>
      <w:r>
        <w:rPr>
          <w:rFonts w:hint="eastAsia" w:ascii="仿宋_GB2312" w:hAnsi="仿宋_GB2312" w:eastAsia="仿宋_GB2312" w:cs="仿宋_GB2312"/>
          <w:color w:val="000000" w:themeColor="text1"/>
          <w:sz w:val="32"/>
          <w:szCs w:val="32"/>
        </w:rPr>
        <w:t>人。</w:t>
      </w:r>
    </w:p>
    <w:p>
      <w:pPr>
        <w:spacing w:line="52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太平乡卫生院位于仁和区太平乡花山村，于</w:t>
      </w:r>
      <w:r>
        <w:rPr>
          <w:rFonts w:ascii="仿宋_GB2312" w:hAnsi="仿宋_GB2312" w:eastAsia="仿宋_GB2312" w:cs="仿宋_GB2312"/>
          <w:color w:val="000000" w:themeColor="text1"/>
          <w:sz w:val="32"/>
          <w:szCs w:val="32"/>
        </w:rPr>
        <w:t>2010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月搬迁到花山村委会院内，现有职工</w:t>
      </w:r>
      <w:r>
        <w:rPr>
          <w:rFonts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rPr>
        <w:t>人，其中：在编</w:t>
      </w:r>
      <w:r>
        <w:rPr>
          <w:rFonts w:ascii="仿宋_GB2312" w:hAnsi="仿宋_GB2312" w:eastAsia="仿宋_GB2312" w:cs="仿宋_GB2312"/>
          <w:color w:val="000000" w:themeColor="text1"/>
          <w:sz w:val="32"/>
          <w:szCs w:val="32"/>
        </w:rPr>
        <w:t>13</w:t>
      </w:r>
      <w:r>
        <w:rPr>
          <w:rFonts w:hint="eastAsia" w:ascii="仿宋_GB2312" w:hAnsi="仿宋_GB2312" w:eastAsia="仿宋_GB2312" w:cs="仿宋_GB2312"/>
          <w:color w:val="000000" w:themeColor="text1"/>
          <w:sz w:val="32"/>
          <w:szCs w:val="32"/>
        </w:rPr>
        <w:t>人；临聘</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人；退休</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人。开设病床</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张，主治医师</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人、执业医师</w:t>
      </w: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人、助理医师</w:t>
      </w: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人、护师</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人、护士</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人、后勤</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人。主要承担辖区内居民的基本医疗和公共卫生服务任务。</w:t>
      </w:r>
    </w:p>
    <w:p>
      <w:pPr>
        <w:spacing w:line="520" w:lineRule="exac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rPr>
        <w:t>卫生院占地面积约</w:t>
      </w:r>
      <w:r>
        <w:rPr>
          <w:rFonts w:ascii="仿宋_GB2312" w:hAnsi="仿宋_GB2312" w:eastAsia="仿宋_GB2312" w:cs="仿宋_GB2312"/>
          <w:color w:val="000000" w:themeColor="text1"/>
          <w:sz w:val="32"/>
          <w:szCs w:val="32"/>
        </w:rPr>
        <w:t>1000m2</w:t>
      </w:r>
      <w:r>
        <w:rPr>
          <w:rFonts w:hint="eastAsia" w:ascii="仿宋_GB2312" w:hAnsi="仿宋_GB2312" w:eastAsia="仿宋_GB2312" w:cs="仿宋_GB2312"/>
          <w:color w:val="000000" w:themeColor="text1"/>
          <w:sz w:val="32"/>
          <w:szCs w:val="32"/>
        </w:rPr>
        <w:t>，其中现有业务用房面积</w:t>
      </w:r>
      <w:r>
        <w:rPr>
          <w:rFonts w:ascii="仿宋_GB2312" w:hAnsi="仿宋_GB2312" w:eastAsia="仿宋_GB2312" w:cs="仿宋_GB2312"/>
          <w:color w:val="000000" w:themeColor="text1"/>
          <w:sz w:val="32"/>
          <w:szCs w:val="32"/>
        </w:rPr>
        <w:t>738</w:t>
      </w:r>
      <w:r>
        <w:rPr>
          <w:rFonts w:hint="eastAsia" w:ascii="仿宋_GB2312" w:hAnsi="仿宋_GB2312" w:eastAsia="仿宋_GB2312" w:cs="仿宋_GB2312"/>
          <w:color w:val="000000" w:themeColor="text1"/>
          <w:sz w:val="32"/>
          <w:szCs w:val="32"/>
        </w:rPr>
        <w:t>余平米，现设科室为：临床、护理、医技、公卫、城乡医保办等科室，固定资产总值达</w:t>
      </w:r>
      <w:r>
        <w:rPr>
          <w:rFonts w:hint="eastAsia" w:ascii="仿宋_GB2312" w:hAnsi="仿宋_GB2312" w:eastAsia="仿宋_GB2312" w:cs="仿宋_GB2312"/>
          <w:color w:val="000000" w:themeColor="text1"/>
          <w:sz w:val="32"/>
          <w:szCs w:val="32"/>
          <w:lang w:val="en-US" w:eastAsia="zh-CN"/>
        </w:rPr>
        <w:t>278.09</w:t>
      </w:r>
      <w:r>
        <w:rPr>
          <w:rFonts w:hint="eastAsia" w:ascii="仿宋_GB2312" w:hAnsi="仿宋_GB2312" w:eastAsia="仿宋_GB2312" w:cs="仿宋_GB2312"/>
          <w:color w:val="000000" w:themeColor="text1"/>
          <w:sz w:val="32"/>
          <w:szCs w:val="32"/>
        </w:rPr>
        <w:t>余万元，卫生院现有</w:t>
      </w:r>
      <w:r>
        <w:rPr>
          <w:rFonts w:ascii="仿宋_GB2312" w:hAnsi="仿宋_GB2312" w:eastAsia="仿宋_GB2312" w:cs="仿宋_GB2312"/>
          <w:color w:val="000000" w:themeColor="text1"/>
          <w:sz w:val="32"/>
          <w:szCs w:val="32"/>
        </w:rPr>
        <w:t>B</w:t>
      </w:r>
      <w:r>
        <w:rPr>
          <w:rFonts w:hint="eastAsia" w:ascii="仿宋_GB2312" w:hAnsi="仿宋_GB2312" w:eastAsia="仿宋_GB2312" w:cs="仿宋_GB2312"/>
          <w:color w:val="000000" w:themeColor="text1"/>
          <w:sz w:val="32"/>
          <w:szCs w:val="32"/>
        </w:rPr>
        <w:t>超、心电、全自动生化分析仪、尿液分析仪等设备。辖区内下设</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个村卫生室。</w:t>
      </w:r>
    </w:p>
    <w:p>
      <w:pPr>
        <w:pStyle w:val="5"/>
        <w:widowControl/>
        <w:shd w:val="clear" w:color="060000" w:fill="FFFFFF"/>
        <w:spacing w:beforeAutospacing="0" w:afterAutospacing="0" w:line="520" w:lineRule="exact"/>
        <w:ind w:firstLine="602"/>
        <w:jc w:val="both"/>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shd w:val="clear" w:color="080000" w:fill="FFFFFF"/>
        </w:rPr>
        <w:t>2.</w:t>
      </w:r>
      <w:r>
        <w:rPr>
          <w:rFonts w:hint="eastAsia" w:ascii="仿宋_GB2312" w:hAnsi="仿宋_GB2312" w:eastAsia="仿宋_GB2312" w:cs="仿宋_GB2312"/>
          <w:color w:val="000000" w:themeColor="text1"/>
          <w:sz w:val="32"/>
          <w:szCs w:val="32"/>
          <w:shd w:val="clear" w:color="080000" w:fill="FFFFFF"/>
        </w:rPr>
        <w:t>单位主要职责</w:t>
      </w:r>
    </w:p>
    <w:p>
      <w:pPr>
        <w:pStyle w:val="5"/>
        <w:widowControl/>
        <w:shd w:val="clear" w:color="060000" w:fill="FFFFFF"/>
        <w:spacing w:beforeAutospacing="0" w:afterAutospacing="0" w:line="520" w:lineRule="exact"/>
        <w:jc w:val="both"/>
        <w:rPr>
          <w:rFonts w:ascii="仿宋_GB2312" w:hAnsi="仿宋_GB2312" w:eastAsia="仿宋_GB2312" w:cs="仿宋_GB2312"/>
          <w:color w:val="000000" w:themeColor="text1"/>
          <w:sz w:val="32"/>
          <w:szCs w:val="32"/>
        </w:rPr>
      </w:pPr>
      <w:r>
        <w:rPr>
          <w:rFonts w:ascii="仿宋_GB2312" w:hAnsi="仿宋_GB2312" w:eastAsia="仿宋_GB2312" w:cs="仿宋_GB2312"/>
          <w:bCs/>
          <w:color w:val="000000" w:themeColor="text1"/>
          <w:sz w:val="32"/>
          <w:szCs w:val="32"/>
        </w:rPr>
        <w:t xml:space="preserve">    </w:t>
      </w:r>
      <w:r>
        <w:rPr>
          <w:rFonts w:hint="eastAsia" w:ascii="仿宋_GB2312" w:hAnsi="仿宋_GB2312" w:eastAsia="仿宋_GB2312" w:cs="仿宋_GB2312"/>
          <w:bCs/>
          <w:color w:val="000000" w:themeColor="text1"/>
          <w:sz w:val="32"/>
          <w:szCs w:val="32"/>
        </w:rPr>
        <w:t>一</w:t>
      </w:r>
      <w:r>
        <w:rPr>
          <w:rFonts w:hint="eastAsia" w:ascii="仿宋_GB2312" w:hAnsi="仿宋_GB2312" w:eastAsia="仿宋_GB2312" w:cs="仿宋_GB2312"/>
          <w:b/>
          <w:color w:val="000000" w:themeColor="text1"/>
          <w:sz w:val="32"/>
          <w:szCs w:val="32"/>
        </w:rPr>
        <w:t>是</w:t>
      </w:r>
      <w:r>
        <w:rPr>
          <w:rFonts w:hint="eastAsia" w:ascii="仿宋_GB2312" w:hAnsi="仿宋_GB2312" w:eastAsia="仿宋_GB2312" w:cs="仿宋_GB2312"/>
          <w:color w:val="000000" w:themeColor="text1"/>
          <w:sz w:val="32"/>
          <w:szCs w:val="32"/>
        </w:rPr>
        <w:t>全面建立覆盖全乡居民的基本医疗卫生服务制度，使全乡居民人人享有基本医疗保障，人人享有基本公共卫生服务，医疗卫生服务质量、服务效率和群众满意度显著提高，切实解决看病难问题</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jc w:val="both"/>
        <w:rPr>
          <w:rFonts w:ascii="仿宋_GB2312" w:hAnsi="仿宋_GB2312" w:eastAsia="仿宋_GB2312" w:cs="仿宋_GB2312"/>
          <w:color w:val="000000" w:themeColor="text1"/>
          <w:sz w:val="32"/>
          <w:szCs w:val="32"/>
        </w:rPr>
      </w:pPr>
      <w:r>
        <w:rPr>
          <w:rFonts w:ascii="仿宋_GB2312" w:hAnsi="仿宋_GB2312" w:eastAsia="仿宋_GB2312" w:cs="仿宋_GB2312"/>
          <w:b/>
          <w:color w:val="000000" w:themeColor="text1"/>
          <w:sz w:val="32"/>
          <w:szCs w:val="32"/>
        </w:rPr>
        <w:t xml:space="preserve">    </w:t>
      </w:r>
      <w:r>
        <w:rPr>
          <w:rFonts w:hint="eastAsia" w:ascii="仿宋_GB2312" w:hAnsi="仿宋_GB2312" w:eastAsia="仿宋_GB2312" w:cs="仿宋_GB2312"/>
          <w:b/>
          <w:color w:val="000000" w:themeColor="text1"/>
          <w:sz w:val="32"/>
          <w:szCs w:val="32"/>
        </w:rPr>
        <w:t>二是</w:t>
      </w:r>
      <w:r>
        <w:rPr>
          <w:rFonts w:hint="eastAsia" w:ascii="仿宋_GB2312" w:hAnsi="仿宋_GB2312" w:eastAsia="仿宋_GB2312" w:cs="仿宋_GB2312"/>
          <w:color w:val="000000" w:themeColor="text1"/>
          <w:sz w:val="32"/>
          <w:szCs w:val="32"/>
        </w:rPr>
        <w:t>基本建立分工明确、信息互通、资源共享、协调互动的公共卫生服务体系，促进全乡居民享有均等化的基本公共卫生服务</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color w:val="000000" w:themeColor="text1"/>
          <w:sz w:val="32"/>
          <w:szCs w:val="32"/>
        </w:rPr>
        <w:t>基本建立规范有序、结构合理、覆盖全乡的医疗服务体系，为群众提供安全、有效、方便、价廉的基本医疗服务</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四是</w:t>
      </w:r>
      <w:r>
        <w:rPr>
          <w:rFonts w:hint="eastAsia" w:ascii="仿宋_GB2312" w:hAnsi="仿宋_GB2312" w:eastAsia="仿宋_GB2312" w:cs="仿宋_GB2312"/>
          <w:color w:val="000000" w:themeColor="text1"/>
          <w:sz w:val="32"/>
          <w:szCs w:val="32"/>
        </w:rPr>
        <w:t>以国家基本药物制度为基础的药品器械供应保障体系进一步规范，确保基本药物安全有效、公平可及、合理使用</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五是</w:t>
      </w:r>
      <w:r>
        <w:rPr>
          <w:rFonts w:hint="eastAsia" w:ascii="仿宋_GB2312" w:hAnsi="仿宋_GB2312" w:eastAsia="仿宋_GB2312" w:cs="仿宋_GB2312"/>
          <w:color w:val="000000" w:themeColor="text1"/>
          <w:sz w:val="32"/>
          <w:szCs w:val="32"/>
        </w:rPr>
        <w:t>建立健全支撑卫生事业全面、协调、可持续发展的各项体制机制，有效保障医药卫生体系规范运行</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jc w:val="both"/>
        <w:rPr>
          <w:rFonts w:ascii="仿宋_GB2312" w:hAnsi="仿宋_GB2312" w:eastAsia="仿宋_GB2312" w:cs="仿宋_GB2312"/>
          <w:color w:val="000000" w:themeColor="text1"/>
          <w:sz w:val="32"/>
          <w:szCs w:val="32"/>
        </w:rPr>
      </w:pPr>
      <w:r>
        <w:rPr>
          <w:rFonts w:ascii="仿宋_GB2312" w:hAnsi="仿宋_GB2312" w:eastAsia="仿宋_GB2312" w:cs="仿宋_GB2312"/>
          <w:b/>
          <w:color w:val="000000" w:themeColor="text1"/>
          <w:sz w:val="32"/>
          <w:szCs w:val="32"/>
        </w:rPr>
        <w:t xml:space="preserve">    </w:t>
      </w:r>
      <w:r>
        <w:rPr>
          <w:rFonts w:hint="eastAsia" w:ascii="仿宋_GB2312" w:hAnsi="仿宋_GB2312" w:eastAsia="仿宋_GB2312" w:cs="仿宋_GB2312"/>
          <w:b/>
          <w:color w:val="000000" w:themeColor="text1"/>
          <w:sz w:val="32"/>
          <w:szCs w:val="32"/>
        </w:rPr>
        <w:t>六是</w:t>
      </w:r>
      <w:r>
        <w:rPr>
          <w:rFonts w:hint="eastAsia" w:ascii="仿宋_GB2312" w:hAnsi="仿宋_GB2312" w:eastAsia="仿宋_GB2312" w:cs="仿宋_GB2312"/>
          <w:color w:val="000000" w:themeColor="text1"/>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color w:val="000000" w:themeColor="text1"/>
          <w:sz w:val="32"/>
          <w:szCs w:val="32"/>
        </w:rPr>
        <w:t>医养工作服务质量</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jc w:val="both"/>
        <w:rPr>
          <w:rFonts w:ascii="仿宋_GB2312" w:hAnsi="仿宋_GB2312" w:eastAsia="仿宋_GB2312" w:cs="仿宋_GB2312"/>
          <w:color w:val="000000" w:themeColor="text1"/>
          <w:sz w:val="32"/>
          <w:szCs w:val="32"/>
        </w:rPr>
      </w:pPr>
      <w:r>
        <w:rPr>
          <w:rFonts w:ascii="仿宋_GB2312" w:hAnsi="仿宋_GB2312" w:eastAsia="仿宋_GB2312" w:cs="仿宋_GB2312"/>
          <w:b/>
          <w:color w:val="000000" w:themeColor="text1"/>
          <w:sz w:val="32"/>
          <w:szCs w:val="32"/>
        </w:rPr>
        <w:t xml:space="preserve">    </w:t>
      </w:r>
      <w:r>
        <w:rPr>
          <w:rFonts w:hint="eastAsia" w:ascii="仿宋_GB2312" w:hAnsi="仿宋_GB2312" w:eastAsia="仿宋_GB2312" w:cs="仿宋_GB2312"/>
          <w:b/>
          <w:color w:val="000000" w:themeColor="text1"/>
          <w:sz w:val="32"/>
          <w:szCs w:val="32"/>
        </w:rPr>
        <w:t>七是</w:t>
      </w:r>
      <w:r>
        <w:rPr>
          <w:rFonts w:hint="eastAsia" w:ascii="仿宋_GB2312" w:hAnsi="仿宋_GB2312" w:eastAsia="仿宋_GB2312" w:cs="仿宋_GB2312"/>
          <w:color w:val="000000" w:themeColor="text1"/>
          <w:sz w:val="32"/>
          <w:szCs w:val="32"/>
        </w:rPr>
        <w:t>全力巩固群众满意乡镇卫生院成果，创建以人为本的卫生院文化，实现和谐的人文特色办院方向</w:t>
      </w:r>
      <w:r>
        <w:rPr>
          <w:rFonts w:ascii="仿宋_GB2312" w:hAnsi="仿宋_GB2312" w:eastAsia="仿宋_GB2312" w:cs="仿宋_GB2312"/>
          <w:color w:val="000000" w:themeColor="text1"/>
          <w:sz w:val="32"/>
          <w:szCs w:val="32"/>
        </w:rPr>
        <w:t>;</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八是</w:t>
      </w:r>
      <w:r>
        <w:rPr>
          <w:rFonts w:hint="eastAsia" w:ascii="仿宋_GB2312" w:hAnsi="仿宋_GB2312" w:eastAsia="仿宋_GB2312" w:cs="仿宋_GB2312"/>
          <w:color w:val="000000" w:themeColor="text1"/>
          <w:sz w:val="32"/>
          <w:szCs w:val="32"/>
        </w:rPr>
        <w:t>培养一支留得住、用得上、满足群众健康需求、技术过硬的基础医疗卫生队伍。</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b/>
          <w:bCs/>
          <w:color w:val="000000" w:themeColor="text1"/>
          <w:sz w:val="32"/>
          <w:szCs w:val="32"/>
        </w:rPr>
      </w:pPr>
      <w:r>
        <w:rPr>
          <w:color w:val="000000" w:themeColor="text1"/>
        </w:rPr>
        <w:fldChar w:fldCharType="begin"/>
      </w:r>
      <w:r>
        <w:rPr>
          <w:color w:val="000000" w:themeColor="text1"/>
        </w:rPr>
        <w:instrText xml:space="preserve"> HYPERLINK "http://www.ynml.gov.cn/333.news.detail.dhtml?news_id=19895" \l "_Toc434746188" </w:instrText>
      </w:r>
      <w:r>
        <w:rPr>
          <w:color w:val="000000" w:themeColor="text1"/>
        </w:rPr>
        <w:fldChar w:fldCharType="separate"/>
      </w:r>
      <w:r>
        <w:rPr>
          <w:rStyle w:val="8"/>
          <w:rFonts w:hint="eastAsia" w:ascii="仿宋_GB2312" w:hAnsi="仿宋_GB2312" w:eastAsia="仿宋_GB2312" w:cs="仿宋_GB2312"/>
          <w:b/>
          <w:bCs/>
          <w:color w:val="000000" w:themeColor="text1"/>
          <w:sz w:val="32"/>
          <w:szCs w:val="32"/>
          <w:u w:val="none"/>
          <w:shd w:val="clear" w:color="0B0000" w:fill="FFFFFF"/>
        </w:rPr>
        <w:t>二、部门绩效目标的设立情况</w:t>
      </w:r>
      <w:r>
        <w:rPr>
          <w:rStyle w:val="8"/>
          <w:rFonts w:hint="eastAsia" w:ascii="仿宋_GB2312" w:hAnsi="仿宋_GB2312" w:eastAsia="仿宋_GB2312" w:cs="仿宋_GB2312"/>
          <w:b/>
          <w:bCs/>
          <w:color w:val="000000" w:themeColor="text1"/>
          <w:sz w:val="32"/>
          <w:szCs w:val="32"/>
          <w:u w:val="none"/>
          <w:shd w:val="clear" w:color="0B0000" w:fill="FFFFFF"/>
        </w:rPr>
        <w:fldChar w:fldCharType="end"/>
      </w:r>
    </w:p>
    <w:p>
      <w:pPr>
        <w:pStyle w:val="5"/>
        <w:widowControl/>
        <w:shd w:val="clear" w:color="060000" w:fill="FFFFFF"/>
        <w:spacing w:beforeAutospacing="0" w:afterAutospacing="0" w:line="520" w:lineRule="exact"/>
        <w:ind w:firstLine="602"/>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080000" w:fill="FFFFFF"/>
        </w:rPr>
        <w:t>按照区卫计局及上级部门的统一部署，根据</w:t>
      </w:r>
      <w:r>
        <w:rPr>
          <w:rFonts w:hint="eastAsia" w:ascii="仿宋_GB2312" w:hAnsi="仿宋_GB2312" w:eastAsia="仿宋_GB2312" w:cs="仿宋_GB2312"/>
          <w:color w:val="000000" w:themeColor="text1"/>
          <w:sz w:val="32"/>
          <w:szCs w:val="32"/>
          <w:shd w:val="clear" w:color="080000" w:fill="FFFFFF"/>
          <w:lang w:eastAsia="zh-CN"/>
        </w:rPr>
        <w:t>2020年</w:t>
      </w:r>
      <w:r>
        <w:rPr>
          <w:rFonts w:hint="eastAsia" w:ascii="仿宋_GB2312" w:hAnsi="仿宋_GB2312" w:eastAsia="仿宋_GB2312" w:cs="仿宋_GB2312"/>
          <w:color w:val="000000" w:themeColor="text1"/>
          <w:sz w:val="32"/>
          <w:szCs w:val="32"/>
          <w:shd w:val="clear" w:color="080000" w:fill="FFFFFF"/>
        </w:rPr>
        <w:t>年末的工作安排，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000000" w:themeColor="text1"/>
          <w:sz w:val="32"/>
          <w:szCs w:val="32"/>
          <w:shd w:val="clear" w:color="080000" w:fill="FFFFFF"/>
        </w:rPr>
        <w:t>公共卫生服务方面：</w:t>
      </w:r>
      <w:r>
        <w:rPr>
          <w:rFonts w:hint="eastAsia" w:ascii="仿宋_GB2312" w:hAnsi="仿宋_GB2312" w:eastAsia="仿宋_GB2312" w:cs="仿宋_GB2312"/>
          <w:color w:val="000000" w:themeColor="text1"/>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仿宋_GB2312" w:hAnsi="仿宋_GB2312" w:eastAsia="仿宋_GB2312" w:cs="仿宋_GB2312"/>
          <w:b/>
          <w:color w:val="000000" w:themeColor="text1"/>
          <w:sz w:val="32"/>
          <w:szCs w:val="32"/>
          <w:shd w:val="clear" w:color="080000" w:fill="FFFFFF"/>
        </w:rPr>
        <w:t>计划生育工作方面：一是</w:t>
      </w:r>
      <w:r>
        <w:rPr>
          <w:rFonts w:hint="eastAsia" w:ascii="仿宋_GB2312" w:hAnsi="仿宋_GB2312" w:eastAsia="仿宋_GB2312" w:cs="仿宋_GB2312"/>
          <w:color w:val="000000" w:themeColor="text1"/>
          <w:sz w:val="32"/>
          <w:szCs w:val="32"/>
          <w:shd w:val="clear" w:color="080000" w:fill="FFFFFF"/>
        </w:rPr>
        <w:t>进一步加强宣传力度；二是加强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000000" w:themeColor="text1"/>
          <w:sz w:val="32"/>
          <w:szCs w:val="32"/>
          <w:shd w:val="clear" w:color="080000" w:fill="FFFFFF"/>
        </w:rPr>
        <w:t>扶贫工作方面：一是</w:t>
      </w:r>
      <w:r>
        <w:rPr>
          <w:rFonts w:hint="eastAsia" w:ascii="仿宋_GB2312" w:hAnsi="仿宋_GB2312" w:eastAsia="仿宋_GB2312" w:cs="仿宋_GB2312"/>
          <w:color w:val="000000" w:themeColor="text1"/>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eastAsia="仿宋_GB2312" w:cs="仿宋_GB2312"/>
          <w:b/>
          <w:color w:val="000000" w:themeColor="text1"/>
          <w:sz w:val="32"/>
          <w:szCs w:val="32"/>
          <w:shd w:val="clear" w:color="080000" w:fill="FFFFFF"/>
        </w:rPr>
        <w:t>其他方面：</w:t>
      </w:r>
      <w:r>
        <w:rPr>
          <w:rFonts w:hint="eastAsia" w:ascii="仿宋_GB2312" w:hAnsi="仿宋_GB2312" w:eastAsia="仿宋_GB2312" w:cs="仿宋_GB2312"/>
          <w:color w:val="000000" w:themeColor="text1"/>
          <w:sz w:val="32"/>
          <w:szCs w:val="32"/>
          <w:shd w:val="clear" w:color="080000" w:fill="FFFFFF"/>
        </w:rPr>
        <w:t>一是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5"/>
        <w:widowControl/>
        <w:shd w:val="clear" w:color="060000" w:fill="FFFFFF"/>
        <w:spacing w:beforeAutospacing="0" w:afterAutospacing="0" w:line="520" w:lineRule="exact"/>
        <w:jc w:val="both"/>
        <w:rPr>
          <w:rFonts w:ascii="仿宋_GB2312" w:hAnsi="仿宋_GB2312" w:eastAsia="仿宋_GB2312" w:cs="仿宋_GB2312"/>
          <w:b/>
          <w:bCs/>
          <w:color w:val="000000" w:themeColor="text1"/>
          <w:sz w:val="32"/>
          <w:szCs w:val="32"/>
        </w:rPr>
      </w:pPr>
      <w:r>
        <w:rPr>
          <w:rFonts w:ascii="仿宋_GB2312" w:hAnsi="仿宋_GB2312" w:eastAsia="仿宋_GB2312" w:cs="仿宋_GB2312"/>
          <w:color w:val="000000" w:themeColor="text1"/>
          <w:sz w:val="32"/>
          <w:szCs w:val="32"/>
          <w:shd w:val="clear" w:color="080000" w:fill="FFFFFF"/>
        </w:rPr>
        <w:t xml:space="preserve">    </w:t>
      </w:r>
      <w:r>
        <w:rPr>
          <w:rFonts w:hint="eastAsia" w:ascii="仿宋_GB2312" w:hAnsi="仿宋_GB2312" w:eastAsia="仿宋_GB2312" w:cs="仿宋_GB2312"/>
          <w:b/>
          <w:bCs/>
          <w:color w:val="000000" w:themeColor="text1"/>
          <w:sz w:val="32"/>
          <w:szCs w:val="32"/>
        </w:rPr>
        <w:t>三、部门财政收入支出管理情况</w:t>
      </w:r>
    </w:p>
    <w:p>
      <w:pPr>
        <w:spacing w:line="520" w:lineRule="exact"/>
        <w:ind w:firstLine="640" w:firstLineChars="200"/>
        <w:rPr>
          <w:rFonts w:hint="eastAsia"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lang w:eastAsia="zh-CN"/>
        </w:rPr>
        <w:t>2020年</w:t>
      </w:r>
      <w:r>
        <w:rPr>
          <w:rFonts w:hint="eastAsia" w:ascii="仿宋_GB2312" w:hAnsi="仿宋_GB2312" w:eastAsia="仿宋_GB2312" w:cs="仿宋_GB2312"/>
          <w:color w:val="000000" w:themeColor="text1"/>
          <w:sz w:val="32"/>
          <w:szCs w:val="32"/>
        </w:rPr>
        <w:t>太平乡卫生院</w:t>
      </w:r>
      <w:r>
        <w:rPr>
          <w:rFonts w:hint="eastAsia" w:ascii="仿宋_GB2312" w:eastAsia="仿宋_GB2312"/>
          <w:color w:val="000000" w:themeColor="text1"/>
          <w:sz w:val="32"/>
          <w:szCs w:val="32"/>
        </w:rPr>
        <w:t>收入决算总额为</w:t>
      </w:r>
      <w:r>
        <w:rPr>
          <w:rFonts w:hint="eastAsia" w:ascii="仿宋_GB2312" w:eastAsia="仿宋_GB2312"/>
          <w:color w:val="000000" w:themeColor="text1"/>
          <w:sz w:val="32"/>
          <w:szCs w:val="32"/>
          <w:lang w:val="en-US" w:eastAsia="zh-CN"/>
        </w:rPr>
        <w:t>365.02</w:t>
      </w:r>
      <w:r>
        <w:rPr>
          <w:rFonts w:hint="eastAsia" w:ascii="仿宋_GB2312" w:eastAsia="仿宋_GB2312"/>
          <w:color w:val="000000" w:themeColor="text1"/>
          <w:sz w:val="32"/>
          <w:szCs w:val="32"/>
        </w:rPr>
        <w:t>万元，其中：当年财政拨款收入</w:t>
      </w:r>
      <w:r>
        <w:rPr>
          <w:rFonts w:hint="eastAsia" w:ascii="仿宋_GB2312" w:eastAsia="仿宋_GB2312"/>
          <w:color w:val="000000" w:themeColor="text1"/>
          <w:sz w:val="32"/>
          <w:szCs w:val="32"/>
          <w:lang w:val="en-US" w:eastAsia="zh-CN"/>
        </w:rPr>
        <w:t>365.02</w:t>
      </w:r>
      <w:r>
        <w:rPr>
          <w:rFonts w:hint="eastAsia" w:ascii="仿宋_GB2312" w:eastAsia="仿宋_GB2312"/>
          <w:color w:val="000000" w:themeColor="text1"/>
          <w:sz w:val="32"/>
          <w:szCs w:val="32"/>
        </w:rPr>
        <w:t>万元，上年结转收入</w:t>
      </w:r>
      <w:r>
        <w:rPr>
          <w:rFonts w:hint="eastAsia" w:ascii="仿宋_GB2312" w:eastAsia="仿宋_GB2312"/>
          <w:color w:val="000000" w:themeColor="text1"/>
          <w:sz w:val="32"/>
          <w:szCs w:val="32"/>
          <w:lang w:val="en-US" w:eastAsia="zh-CN"/>
        </w:rPr>
        <w:t>53.11</w:t>
      </w:r>
      <w:r>
        <w:rPr>
          <w:rFonts w:hint="eastAsia" w:ascii="仿宋_GB2312" w:eastAsia="仿宋_GB2312"/>
          <w:color w:val="000000" w:themeColor="text1"/>
          <w:sz w:val="32"/>
          <w:szCs w:val="32"/>
        </w:rPr>
        <w:t>万元。</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要用于保障该部门机构正常运转、完成日常工作任务以及承担全乡医疗卫生与计划生育事业发展相关工作。</w:t>
      </w:r>
      <w:r>
        <w:rPr>
          <w:rFonts w:ascii="仿宋_GB2312" w:hAnsi="仿宋_GB2312" w:eastAsia="仿宋_GB2312" w:cs="仿宋_GB2312"/>
          <w:color w:val="000000" w:themeColor="text1"/>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基本支出，是</w:t>
      </w:r>
      <w:r>
        <w:rPr>
          <w:rFonts w:hint="eastAsia" w:ascii="仿宋_GB2312" w:hAnsi="仿宋_GB2312" w:eastAsia="仿宋_GB2312" w:cs="仿宋_GB2312"/>
          <w:sz w:val="32"/>
          <w:szCs w:val="32"/>
        </w:rPr>
        <w:t>用于保障太平乡卫生院正常运转的日常支出，包括基本工资、津贴补贴等人员经费以及办公费、印刷费、水电费、办公设备购置等日常公用经费。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项目支出，是用于保障太平乡卫生院完成特定的行政工作任务或事业发展目标，用于专项业务工作的经费支出。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按支出功能分类主要用于以下方面</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（一）医疗卫生与计划生育支出，主要用于基层医疗卫生机构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乡镇卫生院人员基本工资，津贴补贴，离退休费。</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（二）住房保障支出，主要用于职工住房公积金支出。</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shd w:val="clear" w:color="080000" w:fill="FFFFFF"/>
        </w:rPr>
      </w:pPr>
      <w:r>
        <w:rPr>
          <w:rFonts w:ascii="仿宋_GB2312" w:hAnsi="仿宋_GB2312" w:eastAsia="仿宋_GB2312" w:cs="仿宋_GB2312"/>
          <w:color w:val="333333"/>
          <w:sz w:val="32"/>
          <w:szCs w:val="32"/>
          <w:shd w:val="clear" w:color="080000" w:fill="FFFFFF"/>
        </w:rPr>
        <w:t>4</w:t>
      </w:r>
      <w:r>
        <w:rPr>
          <w:rFonts w:hint="eastAsia" w:ascii="仿宋_GB2312" w:hAnsi="仿宋_GB2312" w:eastAsia="仿宋_GB2312" w:cs="仿宋_GB2312"/>
          <w:color w:val="333333"/>
          <w:sz w:val="32"/>
          <w:szCs w:val="32"/>
          <w:shd w:val="clear" w:color="080000" w:fill="FFFFFF"/>
        </w:rPr>
        <w:t>、支出绩效情况</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接受财政监督检查</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严格遵守各项财经纪律，加强单位的财务管理，制定了财务监督管理相关制度，加强预算编制和执行，统一全局财务收支管理，确保每年财政预算收支平衡，</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保证了工作的正常开展和目标任务的完成。结合我院实际制定《太平乡卫生院内部控制制度》、《</w:t>
      </w:r>
      <w:r>
        <w:rPr>
          <w:rFonts w:hint="eastAsia" w:ascii="仿宋_GB2312" w:hAnsi="仿宋_GB2312" w:eastAsia="仿宋_GB2312" w:cs="仿宋_GB2312"/>
          <w:color w:val="000000"/>
          <w:sz w:val="32"/>
          <w:szCs w:val="32"/>
          <w:shd w:val="clear" w:color="080000" w:fill="FFFFFF"/>
        </w:rPr>
        <w:t>太平乡卫生院预算管理制度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rPr>
        <w:t>太平乡卫生院财务管理制度</w:t>
      </w:r>
      <w:r>
        <w:rPr>
          <w:rFonts w:hint="eastAsia" w:ascii="仿宋_GB2312" w:hAnsi="仿宋_GB2312" w:eastAsia="仿宋_GB2312" w:cs="仿宋_GB2312"/>
          <w:color w:val="333333"/>
          <w:sz w:val="32"/>
          <w:szCs w:val="32"/>
          <w:shd w:val="clear" w:color="080000" w:fill="FFFFFF"/>
        </w:rPr>
        <w:t>》和《</w:t>
      </w:r>
      <w:r>
        <w:rPr>
          <w:rFonts w:hint="eastAsia" w:ascii="仿宋_GB2312" w:hAnsi="仿宋_GB2312" w:eastAsia="仿宋_GB2312" w:cs="仿宋_GB2312"/>
          <w:color w:val="000000"/>
          <w:sz w:val="32"/>
          <w:szCs w:val="32"/>
          <w:shd w:val="clear" w:color="080000" w:fill="FFFFFF"/>
        </w:rPr>
        <w:t>太平乡卫生院经费审批管理制度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rPr>
        <w:t>太平乡卫生院收入管理制度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rPr>
        <w:t>太平乡卫生院支出管理制度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rPr>
        <w:t>太平乡卫生院票证管理制度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rPr>
        <w:t>太平乡卫生院报账员职责</w:t>
      </w:r>
      <w:r>
        <w:rPr>
          <w:rFonts w:hint="eastAsia" w:ascii="仿宋_GB2312" w:hAnsi="仿宋_GB2312" w:eastAsia="仿宋_GB2312" w:cs="仿宋_GB2312"/>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w:t>
      </w:r>
      <w:r>
        <w:rPr>
          <w:rFonts w:hint="eastAsia" w:ascii="仿宋_GB2312" w:hAnsi="仿宋_GB2312" w:eastAsia="仿宋_GB2312" w:cs="仿宋_GB2312"/>
          <w:color w:val="333333"/>
          <w:sz w:val="32"/>
          <w:szCs w:val="32"/>
          <w:shd w:val="clear" w:color="080000" w:fill="FFFFFF"/>
          <w:lang w:eastAsia="zh-CN"/>
        </w:rPr>
        <w:t>仁和区</w:t>
      </w:r>
      <w:r>
        <w:rPr>
          <w:rFonts w:hint="eastAsia" w:ascii="仿宋_GB2312" w:hAnsi="仿宋_GB2312" w:eastAsia="仿宋_GB2312" w:cs="仿宋_GB2312"/>
          <w:color w:val="333333"/>
          <w:sz w:val="32"/>
          <w:szCs w:val="32"/>
          <w:shd w:val="clear" w:color="080000" w:fill="FFFFFF"/>
        </w:rPr>
        <w:t>公众信息网中公开本单位的预、决算信息，自觉接受广大人民群众的监督。</w:t>
      </w:r>
    </w:p>
    <w:p>
      <w:pPr>
        <w:pStyle w:val="5"/>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ascii="仿宋_GB2312" w:hAnsi="仿宋_GB2312" w:eastAsia="仿宋_GB2312" w:cs="仿宋_GB2312"/>
          <w:b/>
          <w:bCs/>
          <w:color w:val="333333"/>
          <w:sz w:val="32"/>
          <w:szCs w:val="32"/>
          <w:shd w:val="clear" w:color="090000" w:fill="FFFFFF"/>
        </w:rPr>
        <w:t xml:space="preserve"> </w:t>
      </w:r>
      <w:r>
        <w:rPr>
          <w:rFonts w:hint="eastAsia" w:ascii="仿宋_GB2312" w:hAnsi="仿宋_GB2312" w:eastAsia="仿宋_GB2312" w:cs="仿宋_GB2312"/>
          <w:b/>
          <w:bCs/>
          <w:color w:val="333333"/>
          <w:sz w:val="32"/>
          <w:szCs w:val="32"/>
          <w:shd w:val="clear" w:color="090000" w:fill="FFFFFF"/>
        </w:rPr>
        <w:t>四、主要经验及做法</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资金是开展业务及其它活动的重要物质保障。我院历来都非常重视，把资金管理例入重要议事日程，由院长主抓，指定专人负责</w:t>
      </w:r>
      <w:r>
        <w:rPr>
          <w:rFonts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333333"/>
          <w:sz w:val="32"/>
          <w:szCs w:val="32"/>
          <w:shd w:val="clear" w:color="080000" w:fill="FFFFFF"/>
        </w:rPr>
        <w:t>以确保资金运行的安全和完整。一是严格执行《行政单位国有资产管理暂行办法》（财政部令第</w:t>
      </w:r>
      <w:r>
        <w:rPr>
          <w:rFonts w:ascii="仿宋_GB2312" w:hAnsi="仿宋_GB2312" w:eastAsia="仿宋_GB2312" w:cs="仿宋_GB2312"/>
          <w:color w:val="333333"/>
          <w:sz w:val="32"/>
          <w:szCs w:val="32"/>
          <w:shd w:val="clear" w:color="080000" w:fill="FFFFFF"/>
        </w:rPr>
        <w:t>35</w:t>
      </w:r>
      <w:r>
        <w:rPr>
          <w:rFonts w:hint="eastAsia" w:ascii="仿宋_GB2312" w:hAnsi="仿宋_GB2312" w:eastAsia="仿宋_GB2312" w:cs="仿宋_GB2312"/>
          <w:color w:val="333333"/>
          <w:sz w:val="32"/>
          <w:szCs w:val="32"/>
          <w:shd w:val="clear" w:color="080000" w:fill="FFFFFF"/>
        </w:rPr>
        <w:t>号），规范资产管理；二是建立完整的会计核算体系，按照《</w:t>
      </w:r>
      <w:r>
        <w:rPr>
          <w:rFonts w:hint="eastAsia" w:ascii="仿宋_GB2312" w:hAnsi="仿宋_GB2312" w:eastAsia="仿宋_GB2312" w:cs="仿宋_GB2312"/>
          <w:color w:val="000000"/>
          <w:sz w:val="32"/>
          <w:szCs w:val="32"/>
          <w:shd w:val="clear" w:color="080000" w:fill="FFFFFF"/>
        </w:rPr>
        <w:t>基层医疗卫生机构会计制度</w:t>
      </w:r>
      <w:r>
        <w:rPr>
          <w:rFonts w:hint="eastAsia" w:ascii="仿宋_GB2312" w:hAnsi="仿宋_GB2312" w:eastAsia="仿宋_GB2312" w:cs="仿宋_GB2312"/>
          <w:color w:val="333333"/>
          <w:sz w:val="32"/>
          <w:szCs w:val="32"/>
          <w:shd w:val="clear" w:color="080000" w:fill="FFFFFF"/>
        </w:rPr>
        <w:t>》进行核算和管理；三是按照相关部门的要求定期检查、清查单位的资金运行情况，及时发现和堵塞管理中的漏洞，妥善处理和解决管理中出现的各种问题，制定出相应的改进措施；四是建立健全各项财务管理制度，并严格按照规定进行管理；五是连接财政管理网络，配置了管理的软、硬件设施；六是积极支持和督促财务人员参加各种业务培训，不断提高国有资产管理业务能力。</w:t>
      </w:r>
    </w:p>
    <w:p>
      <w:pPr>
        <w:pStyle w:val="5"/>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color w:val="333333"/>
          <w:sz w:val="32"/>
          <w:szCs w:val="32"/>
          <w:shd w:val="clear" w:color="090000" w:fill="FFFFFF"/>
        </w:rPr>
        <w:t>五、存在的问题及原因分析</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、预算细化程度不够，造成了预算数与执行数的差异；</w:t>
      </w:r>
    </w:p>
    <w:p>
      <w:pPr>
        <w:pStyle w:val="5"/>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2</w:t>
      </w:r>
      <w:r>
        <w:rPr>
          <w:rFonts w:hint="eastAsia" w:ascii="仿宋_GB2312" w:hAnsi="仿宋_GB2312" w:eastAsia="仿宋_GB2312" w:cs="仿宋_GB2312"/>
          <w:color w:val="333333"/>
          <w:sz w:val="32"/>
          <w:szCs w:val="32"/>
          <w:shd w:val="clear" w:color="080000" w:fill="FFFFFF"/>
        </w:rPr>
        <w:t>、项目资金预算不足，无法解决</w:t>
      </w:r>
      <w:r>
        <w:rPr>
          <w:rFonts w:hint="eastAsia" w:ascii="仿宋_GB2312" w:hAnsi="仿宋_GB2312" w:eastAsia="仿宋_GB2312" w:cs="仿宋_GB2312"/>
          <w:color w:val="444444"/>
          <w:sz w:val="32"/>
          <w:szCs w:val="32"/>
          <w:shd w:val="clear" w:color="080000" w:fill="FFFFFF"/>
        </w:rPr>
        <w:t>设备简陋的问题，制约了医院的发展；</w:t>
      </w:r>
    </w:p>
    <w:p>
      <w:pPr>
        <w:pStyle w:val="5"/>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3</w:t>
      </w:r>
      <w:r>
        <w:rPr>
          <w:rFonts w:hint="eastAsia" w:ascii="仿宋_GB2312" w:hAnsi="仿宋_GB2312" w:eastAsia="仿宋_GB2312" w:cs="仿宋_GB2312"/>
          <w:color w:val="333333"/>
          <w:sz w:val="32"/>
          <w:szCs w:val="32"/>
          <w:shd w:val="clear" w:color="080000" w:fill="FFFFFF"/>
        </w:rPr>
        <w:t>．预算执行完成后的绩效管理还有待完善和加强。</w:t>
      </w:r>
    </w:p>
    <w:p>
      <w:pPr>
        <w:pStyle w:val="5"/>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五、评价结论及建议</w:t>
      </w:r>
    </w:p>
    <w:p>
      <w:pPr>
        <w:pStyle w:val="5"/>
        <w:widowControl/>
        <w:shd w:val="clear" w:color="060000" w:fill="FFFFFF"/>
        <w:spacing w:beforeAutospacing="0" w:afterAutospacing="0" w:line="520" w:lineRule="exact"/>
        <w:ind w:firstLine="640"/>
        <w:jc w:val="both"/>
        <w:rPr>
          <w:rFonts w:hint="eastAsia" w:ascii="仿宋_GB2312" w:hAnsi="仿宋_GB2312" w:eastAsia="仿宋_GB2312" w:cs="仿宋_GB2312"/>
          <w:color w:val="333333"/>
          <w:sz w:val="32"/>
          <w:szCs w:val="32"/>
          <w:shd w:val="clear" w:color="080000" w:fill="FFFFFF"/>
        </w:rPr>
      </w:pPr>
      <w:r>
        <w:rPr>
          <w:rFonts w:hint="eastAsia" w:ascii="仿宋_GB2312" w:hAnsi="仿宋_GB2312" w:eastAsia="仿宋_GB2312" w:cs="仿宋_GB2312"/>
          <w:color w:val="333333"/>
          <w:sz w:val="32"/>
          <w:szCs w:val="32"/>
          <w:shd w:val="clear" w:color="080000" w:fill="FFFFFF"/>
        </w:rPr>
        <w:t>通过</w:t>
      </w:r>
      <w:r>
        <w:rPr>
          <w:rFonts w:hint="eastAsia" w:ascii="仿宋_GB2312" w:hAnsi="仿宋_GB2312" w:eastAsia="仿宋_GB2312" w:cs="仿宋_GB2312"/>
          <w:color w:val="333333"/>
          <w:sz w:val="32"/>
          <w:szCs w:val="32"/>
          <w:shd w:val="clear" w:color="080000" w:fill="FFFFFF"/>
          <w:lang w:eastAsia="zh-CN"/>
        </w:rPr>
        <w:t>2020年</w:t>
      </w:r>
      <w:r>
        <w:rPr>
          <w:rFonts w:hint="eastAsia" w:ascii="仿宋_GB2312" w:hAnsi="仿宋_GB2312" w:eastAsia="仿宋_GB2312" w:cs="仿宋_GB2312"/>
          <w:color w:val="333333"/>
          <w:sz w:val="32"/>
          <w:szCs w:val="32"/>
          <w:shd w:val="clear" w:color="080000" w:fill="FFFFFF"/>
        </w:rPr>
        <w:t>度各项工作任务的开展，不断完善了我院医疗管理体制、提升了医疗服务能力，加大了服务力度，全面保证了辖区人民群众的身体健康。一年来，我院</w:t>
      </w:r>
      <w:r>
        <w:rPr>
          <w:rFonts w:hint="eastAsia" w:ascii="仿宋_GB2312" w:hAnsi="仿宋_GB2312" w:eastAsia="仿宋_GB2312" w:cs="仿宋_GB2312"/>
          <w:color w:val="444444"/>
          <w:sz w:val="32"/>
          <w:szCs w:val="32"/>
          <w:shd w:val="clear" w:color="080000" w:fill="FFFFFF"/>
        </w:rPr>
        <w:t>进一步强化领导干部和职工队伍的建设，强化医德医风、服务理念的转变，</w:t>
      </w:r>
      <w:r>
        <w:rPr>
          <w:rFonts w:hint="eastAsia" w:ascii="仿宋_GB2312" w:hAnsi="仿宋_GB2312" w:eastAsia="仿宋_GB2312" w:cs="仿宋_GB2312"/>
          <w:color w:val="333333"/>
          <w:sz w:val="32"/>
          <w:szCs w:val="32"/>
          <w:shd w:val="clear" w:color="080000" w:fill="FFFFFF"/>
        </w:rPr>
        <w:t>从业人员的医疗安全意识、法律意识、责任意识明显提高。与同时不断</w:t>
      </w:r>
      <w:r>
        <w:rPr>
          <w:rFonts w:hint="eastAsia" w:ascii="仿宋_GB2312" w:hAnsi="仿宋_GB2312" w:eastAsia="仿宋_GB2312" w:cs="仿宋_GB2312"/>
          <w:color w:val="444444"/>
          <w:sz w:val="32"/>
          <w:szCs w:val="32"/>
          <w:shd w:val="clear" w:color="080000" w:fill="FFFFFF"/>
        </w:rPr>
        <w:t>强化各项规章制度的建立健全，强化医疗质量、医疗安全的保障，有力的推动了卫生计生各项工作的深入开展，</w:t>
      </w:r>
      <w:r>
        <w:rPr>
          <w:rFonts w:hint="eastAsia" w:ascii="仿宋_GB2312" w:hAnsi="仿宋_GB2312" w:eastAsia="仿宋_GB2312" w:cs="仿宋_GB2312"/>
          <w:color w:val="333333"/>
          <w:sz w:val="32"/>
          <w:szCs w:val="32"/>
          <w:shd w:val="clear" w:color="080000" w:fill="FFFFFF"/>
        </w:rPr>
        <w:t>各项监管制度措施也得到了认真落实，信用体系建设、效能建设、廉政建设、政风行风建设、文明创建和创先争优活动取得了新的成效。促进了我镇经济社会的全面、健康、可持续发展。自评分汇总得分</w:t>
      </w:r>
      <w:r>
        <w:rPr>
          <w:rFonts w:ascii="仿宋_GB2312" w:hAnsi="仿宋_GB2312" w:eastAsia="仿宋_GB2312" w:cs="仿宋_GB2312"/>
          <w:color w:val="333333"/>
          <w:sz w:val="32"/>
          <w:szCs w:val="32"/>
          <w:shd w:val="clear" w:color="080000" w:fill="FFFFFF"/>
        </w:rPr>
        <w:t>9</w:t>
      </w:r>
      <w:r>
        <w:rPr>
          <w:rFonts w:hint="eastAsia" w:ascii="仿宋_GB2312" w:hAnsi="仿宋_GB2312" w:eastAsia="仿宋_GB2312" w:cs="仿宋_GB2312"/>
          <w:color w:val="333333"/>
          <w:sz w:val="32"/>
          <w:szCs w:val="32"/>
          <w:shd w:val="clear" w:color="080000" w:fill="FFFFFF"/>
          <w:lang w:val="en-US" w:eastAsia="zh-CN"/>
        </w:rPr>
        <w:t>1</w:t>
      </w:r>
      <w:r>
        <w:rPr>
          <w:rFonts w:hint="eastAsia" w:ascii="仿宋_GB2312" w:hAnsi="仿宋_GB2312" w:eastAsia="仿宋_GB2312" w:cs="仿宋_GB2312"/>
          <w:color w:val="333333"/>
          <w:sz w:val="32"/>
          <w:szCs w:val="32"/>
          <w:shd w:val="clear" w:color="080000" w:fill="FFFFFF"/>
        </w:rPr>
        <w:t>分，自评结果为优秀。</w:t>
      </w:r>
      <w:bookmarkStart w:id="0" w:name="_GoBack"/>
      <w:bookmarkEnd w:id="0"/>
    </w:p>
    <w:p>
      <w:pPr>
        <w:pStyle w:val="5"/>
        <w:widowControl/>
        <w:shd w:val="clear" w:color="060000" w:fill="FFFFFF"/>
        <w:spacing w:beforeAutospacing="0" w:afterAutospacing="0" w:line="520" w:lineRule="exact"/>
        <w:ind w:firstLine="640"/>
        <w:jc w:val="right"/>
        <w:rPr>
          <w:rFonts w:hint="eastAsia" w:ascii="仿宋_GB2312" w:hAnsi="仿宋_GB2312" w:eastAsia="仿宋_GB2312" w:cs="仿宋_GB2312"/>
          <w:color w:val="333333"/>
          <w:sz w:val="32"/>
          <w:szCs w:val="32"/>
          <w:shd w:val="clear" w:color="080000" w:fill="FFFFFF"/>
          <w:lang w:eastAsia="zh-CN"/>
        </w:rPr>
      </w:pPr>
      <w:r>
        <w:rPr>
          <w:rFonts w:hint="eastAsia" w:ascii="仿宋_GB2312" w:hAnsi="仿宋_GB2312" w:eastAsia="仿宋_GB2312" w:cs="仿宋_GB2312"/>
          <w:color w:val="333333"/>
          <w:sz w:val="32"/>
          <w:szCs w:val="32"/>
          <w:shd w:val="clear" w:color="080000" w:fill="FFFFFF"/>
          <w:lang w:eastAsia="zh-CN"/>
        </w:rPr>
        <w:t>太平乡卫生院</w:t>
      </w:r>
    </w:p>
    <w:p>
      <w:pPr>
        <w:pStyle w:val="5"/>
        <w:widowControl/>
        <w:shd w:val="clear" w:color="060000" w:fill="FFFFFF"/>
        <w:spacing w:beforeAutospacing="0" w:afterAutospacing="0" w:line="520" w:lineRule="exact"/>
        <w:ind w:firstLine="640"/>
        <w:jc w:val="right"/>
        <w:rPr>
          <w:rFonts w:hint="default" w:ascii="仿宋_GB2312" w:hAnsi="仿宋_GB2312" w:eastAsia="仿宋_GB2312" w:cs="仿宋_GB2312"/>
          <w:color w:val="333333"/>
          <w:sz w:val="32"/>
          <w:szCs w:val="32"/>
          <w:shd w:val="clear" w:color="080000" w:fill="FFFFFF"/>
          <w:lang w:val="en-US" w:eastAsia="zh-CN"/>
        </w:rPr>
      </w:pPr>
      <w:r>
        <w:rPr>
          <w:rFonts w:hint="eastAsia" w:ascii="仿宋_GB2312" w:hAnsi="仿宋_GB2312" w:eastAsia="仿宋_GB2312" w:cs="仿宋_GB2312"/>
          <w:color w:val="333333"/>
          <w:sz w:val="32"/>
          <w:szCs w:val="32"/>
          <w:shd w:val="clear" w:color="080000" w:fill="FFFFFF"/>
          <w:lang w:val="en-US" w:eastAsia="zh-CN"/>
        </w:rPr>
        <w:t>2021年3月25日</w:t>
      </w:r>
    </w:p>
    <w:p>
      <w:pPr>
        <w:pStyle w:val="5"/>
        <w:widowControl/>
        <w:shd w:val="clear" w:color="060000" w:fill="FFFFFF"/>
        <w:spacing w:beforeAutospacing="0" w:afterAutospacing="0" w:line="520" w:lineRule="exact"/>
        <w:ind w:firstLine="640"/>
        <w:jc w:val="both"/>
        <w:rPr>
          <w:rFonts w:hint="eastAsia" w:ascii="仿宋_GB2312" w:hAnsi="仿宋_GB2312" w:eastAsia="仿宋_GB2312" w:cs="仿宋_GB2312"/>
          <w:color w:val="333333"/>
          <w:sz w:val="32"/>
          <w:szCs w:val="32"/>
          <w:shd w:val="clear" w:color="080000" w:fill="FFFFFF"/>
        </w:rPr>
      </w:pPr>
    </w:p>
    <w:p>
      <w:pPr>
        <w:pBdr>
          <w:bottom w:val="single" w:color="auto" w:sz="12" w:space="1"/>
          <w:between w:val="single" w:color="auto" w:sz="12" w:space="1"/>
        </w:pBdr>
        <w:adjustRightInd w:val="0"/>
        <w:snapToGrid w:val="0"/>
        <w:spacing w:line="300" w:lineRule="auto"/>
        <w:rPr>
          <w:rFonts w:hint="eastAsia" w:ascii="Times New Roman" w:eastAsia="仿宋"/>
          <w:sz w:val="36"/>
          <w:szCs w:val="36"/>
        </w:rPr>
      </w:pPr>
    </w:p>
    <w:p>
      <w:pPr>
        <w:pBdr>
          <w:bottom w:val="single" w:color="auto" w:sz="12" w:space="1"/>
          <w:between w:val="single" w:color="auto" w:sz="12" w:space="1"/>
        </w:pBdr>
        <w:adjustRightInd w:val="0"/>
        <w:snapToGrid w:val="0"/>
        <w:spacing w:line="300" w:lineRule="auto"/>
        <w:rPr>
          <w:rFonts w:hint="eastAsia" w:ascii="Times New Roman" w:eastAsia="仿宋"/>
          <w:sz w:val="36"/>
          <w:szCs w:val="36"/>
        </w:rPr>
      </w:pPr>
      <w:r>
        <w:rPr>
          <w:rFonts w:hint="eastAsia" w:ascii="Times New Roman" w:eastAsia="仿宋"/>
          <w:sz w:val="36"/>
          <w:szCs w:val="36"/>
        </w:rPr>
        <w:t>攀枝花市仁和区</w:t>
      </w:r>
      <w:r>
        <w:rPr>
          <w:rFonts w:hint="eastAsia" w:ascii="Times New Roman" w:eastAsia="仿宋"/>
          <w:sz w:val="36"/>
          <w:szCs w:val="36"/>
          <w:lang w:eastAsia="zh-CN"/>
        </w:rPr>
        <w:t>太平乡</w:t>
      </w:r>
      <w:r>
        <w:rPr>
          <w:rFonts w:hint="eastAsia" w:ascii="Times New Roman" w:eastAsia="仿宋"/>
          <w:sz w:val="36"/>
          <w:szCs w:val="36"/>
        </w:rPr>
        <w:t>卫生院</w:t>
      </w:r>
      <w:r>
        <w:rPr>
          <w:rFonts w:hint="eastAsia" w:ascii="Times New Roman" w:eastAsia="仿宋"/>
          <w:sz w:val="36"/>
          <w:szCs w:val="36"/>
          <w:lang w:val="en-US" w:eastAsia="zh-CN"/>
        </w:rPr>
        <w:t xml:space="preserve">     </w:t>
      </w:r>
      <w:r>
        <w:rPr>
          <w:rFonts w:ascii="Times New Roman" w:eastAsia="仿宋"/>
          <w:sz w:val="36"/>
          <w:szCs w:val="36"/>
        </w:rPr>
        <w:t>20</w:t>
      </w:r>
      <w:r>
        <w:rPr>
          <w:rFonts w:hint="eastAsia" w:ascii="Times New Roman" w:eastAsia="仿宋"/>
          <w:sz w:val="36"/>
          <w:szCs w:val="36"/>
        </w:rPr>
        <w:t>2</w:t>
      </w:r>
      <w:r>
        <w:rPr>
          <w:rFonts w:hint="eastAsia" w:ascii="Times New Roman" w:eastAsia="仿宋"/>
          <w:sz w:val="36"/>
          <w:szCs w:val="36"/>
          <w:lang w:val="en-US" w:eastAsia="zh-CN"/>
        </w:rPr>
        <w:t>1</w:t>
      </w:r>
      <w:r>
        <w:rPr>
          <w:rFonts w:hint="eastAsia" w:ascii="Times New Roman" w:eastAsia="仿宋"/>
          <w:sz w:val="36"/>
          <w:szCs w:val="36"/>
        </w:rPr>
        <w:t>年</w:t>
      </w:r>
      <w:r>
        <w:rPr>
          <w:rFonts w:hint="eastAsia" w:ascii="Times New Roman" w:eastAsia="仿宋"/>
          <w:sz w:val="36"/>
          <w:szCs w:val="36"/>
          <w:lang w:val="en-US" w:eastAsia="zh-CN"/>
        </w:rPr>
        <w:t>3</w:t>
      </w:r>
      <w:r>
        <w:rPr>
          <w:rFonts w:hint="eastAsia" w:ascii="Times New Roman" w:eastAsia="仿宋"/>
          <w:sz w:val="36"/>
          <w:szCs w:val="36"/>
        </w:rPr>
        <w:t>月</w:t>
      </w:r>
      <w:r>
        <w:rPr>
          <w:rFonts w:hint="eastAsia" w:ascii="Times New Roman" w:eastAsia="仿宋"/>
          <w:sz w:val="36"/>
          <w:szCs w:val="36"/>
          <w:lang w:val="en-US" w:eastAsia="zh-CN"/>
        </w:rPr>
        <w:t>2</w:t>
      </w:r>
      <w:r>
        <w:rPr>
          <w:rFonts w:hint="eastAsia" w:ascii="Times New Roman" w:eastAsia="仿宋"/>
          <w:sz w:val="36"/>
          <w:szCs w:val="36"/>
        </w:rPr>
        <w:t>5日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sectPr>
      <w:pgSz w:w="11906" w:h="16838"/>
      <w:pgMar w:top="1043"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B10554"/>
    <w:rsid w:val="006D2ED9"/>
    <w:rsid w:val="00926A50"/>
    <w:rsid w:val="00C15B9A"/>
    <w:rsid w:val="00DB6A29"/>
    <w:rsid w:val="00E67102"/>
    <w:rsid w:val="01D8365E"/>
    <w:rsid w:val="11112004"/>
    <w:rsid w:val="17BA7C62"/>
    <w:rsid w:val="18922DC2"/>
    <w:rsid w:val="18F05D9D"/>
    <w:rsid w:val="259C02F4"/>
    <w:rsid w:val="2E2D71D2"/>
    <w:rsid w:val="2FA53C10"/>
    <w:rsid w:val="37620CE0"/>
    <w:rsid w:val="37CA484F"/>
    <w:rsid w:val="3A594B41"/>
    <w:rsid w:val="3FB10879"/>
    <w:rsid w:val="3FDA4990"/>
    <w:rsid w:val="3FEB1367"/>
    <w:rsid w:val="52976DF8"/>
    <w:rsid w:val="54D36099"/>
    <w:rsid w:val="5AB10554"/>
    <w:rsid w:val="691454D9"/>
    <w:rsid w:val="6CC23A11"/>
    <w:rsid w:val="73854F54"/>
    <w:rsid w:val="74A30996"/>
    <w:rsid w:val="7AA24E26"/>
    <w:rsid w:val="7D786EE0"/>
    <w:rsid w:val="7F6663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宋体" w:hAnsi="宋体" w:cs="宋体"/>
      <w:color w:val="000000"/>
      <w:kern w:val="0"/>
      <w:sz w:val="34"/>
      <w:szCs w:val="34"/>
      <w:u w:color="000000"/>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Hyperlink"/>
    <w:basedOn w:val="7"/>
    <w:qFormat/>
    <w:uiPriority w:val="99"/>
    <w:rPr>
      <w:rFonts w:cs="Times New Roman"/>
      <w:color w:val="0000FF"/>
      <w:u w:val="single"/>
    </w:rPr>
  </w:style>
  <w:style w:type="character" w:customStyle="1" w:styleId="9">
    <w:name w:val="Body Text Char"/>
    <w:basedOn w:val="7"/>
    <w:link w:val="2"/>
    <w:semiHidden/>
    <w:qFormat/>
    <w:uiPriority w:val="99"/>
    <w:rPr>
      <w:rFonts w:ascii="Calibri" w:hAnsi="Calibri" w:cs="黑体"/>
      <w:szCs w:val="24"/>
    </w:rPr>
  </w:style>
  <w:style w:type="character" w:customStyle="1" w:styleId="10">
    <w:name w:val="Footer Char"/>
    <w:basedOn w:val="7"/>
    <w:link w:val="3"/>
    <w:semiHidden/>
    <w:qFormat/>
    <w:uiPriority w:val="99"/>
    <w:rPr>
      <w:rFonts w:ascii="Calibri" w:hAnsi="Calibri" w:cs="黑体"/>
      <w:sz w:val="18"/>
      <w:szCs w:val="18"/>
    </w:rPr>
  </w:style>
  <w:style w:type="character" w:customStyle="1" w:styleId="11">
    <w:name w:val="Header Char"/>
    <w:basedOn w:val="7"/>
    <w:link w:val="4"/>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675</Words>
  <Characters>3848</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2018-10-19T04:32:00Z</dcterms:created>
  <dc:creator>王明刚</dc:creator>
  <cp:lastModifiedBy>J</cp:lastModifiedBy>
  <dcterms:modified xsi:type="dcterms:W3CDTF">2021-03-25T09:59:46Z</dcterms:modified>
  <dc:title>太平乡卫生院2017年度部门支出绩效   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01D9E4C79FD9414587C1582303CA0D97</vt:lpwstr>
  </property>
</Properties>
</file>