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D2" w:rsidRDefault="002E60D2" w:rsidP="002E60D2">
      <w:pPr>
        <w:tabs>
          <w:tab w:val="right" w:leader="dot" w:pos="9040"/>
          <w:tab w:val="right" w:leader="middleDot" w:pos="9240"/>
        </w:tabs>
        <w:spacing w:line="400" w:lineRule="exact"/>
        <w:ind w:left="420" w:hangingChars="150" w:hanging="420"/>
        <w:jc w:val="center"/>
        <w:rPr>
          <w:rFonts w:ascii="方正小标宋简体" w:eastAsia="方正小标宋简体" w:hint="eastAsia"/>
          <w:sz w:val="28"/>
          <w:szCs w:val="28"/>
        </w:rPr>
      </w:pPr>
      <w:r>
        <w:rPr>
          <w:rFonts w:ascii="方正小标宋简体" w:eastAsia="方正小标宋简体" w:hint="eastAsia"/>
          <w:sz w:val="28"/>
          <w:szCs w:val="28"/>
        </w:rPr>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int="eastAsia"/>
          <w:szCs w:val="21"/>
        </w:rPr>
      </w:pPr>
      <w:r w:rsidRPr="002B6A9E">
        <w:rPr>
          <w:rFonts w:ascii="方正书宋简体" w:eastAsia="方正书宋简体" w:hint="eastAsia"/>
          <w:szCs w:val="21"/>
        </w:rPr>
        <w:t>（2021年度）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01"/>
        <w:gridCol w:w="888"/>
        <w:gridCol w:w="1260"/>
        <w:gridCol w:w="2403"/>
        <w:gridCol w:w="3070"/>
      </w:tblGrid>
      <w:tr w:rsidR="002E60D2" w:rsidTr="007149C1">
        <w:tc>
          <w:tcPr>
            <w:tcW w:w="1788"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项目名称 </w:t>
            </w:r>
          </w:p>
        </w:tc>
        <w:tc>
          <w:tcPr>
            <w:tcW w:w="3211"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离退休党支部活动经费</w:t>
            </w:r>
          </w:p>
        </w:tc>
      </w:tr>
      <w:tr w:rsidR="002E60D2" w:rsidTr="007149C1">
        <w:tc>
          <w:tcPr>
            <w:tcW w:w="1788"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预算单位</w:t>
            </w:r>
          </w:p>
        </w:tc>
        <w:tc>
          <w:tcPr>
            <w:tcW w:w="3211"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攀枝花市仁和区人民代表大会常务委员会</w:t>
            </w:r>
          </w:p>
        </w:tc>
      </w:tr>
      <w:tr w:rsidR="002E60D2" w:rsidTr="007149C1">
        <w:tc>
          <w:tcPr>
            <w:tcW w:w="1788"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项目资金(万元)</w:t>
            </w:r>
          </w:p>
        </w:tc>
        <w:tc>
          <w:tcPr>
            <w:tcW w:w="1410"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年度资金总额： </w:t>
            </w:r>
          </w:p>
        </w:tc>
        <w:tc>
          <w:tcPr>
            <w:tcW w:w="1801"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5.00</w:t>
            </w:r>
          </w:p>
        </w:tc>
      </w:tr>
      <w:tr w:rsidR="002E60D2" w:rsidTr="007149C1">
        <w:tc>
          <w:tcPr>
            <w:tcW w:w="1788"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10"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其中：财政拨款 </w:t>
            </w:r>
          </w:p>
        </w:tc>
        <w:tc>
          <w:tcPr>
            <w:tcW w:w="1801"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5.00</w:t>
            </w:r>
          </w:p>
        </w:tc>
      </w:tr>
      <w:tr w:rsidR="002E60D2" w:rsidTr="007149C1">
        <w:tc>
          <w:tcPr>
            <w:tcW w:w="1788"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10"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其他资金 </w:t>
            </w:r>
          </w:p>
        </w:tc>
        <w:tc>
          <w:tcPr>
            <w:tcW w:w="1801"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r>
      <w:tr w:rsidR="002E60D2" w:rsidTr="007149C1">
        <w:tc>
          <w:tcPr>
            <w:tcW w:w="52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总体目标 </w:t>
            </w:r>
          </w:p>
        </w:tc>
        <w:tc>
          <w:tcPr>
            <w:tcW w:w="4471"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年度目标</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4471"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仁和区人大机关离退休党支部开展活动，每月开展“三会一课”活动，每年举行1次离退休活动，每年组织1至2次离退休干部参观仁和区经济和社会发展及重大项目和民生建设视察活动</w:t>
            </w:r>
          </w:p>
        </w:tc>
      </w:tr>
      <w:tr w:rsidR="002E60D2" w:rsidTr="007149C1">
        <w:tc>
          <w:tcPr>
            <w:tcW w:w="52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绩效指标 </w:t>
            </w:r>
          </w:p>
        </w:tc>
        <w:tc>
          <w:tcPr>
            <w:tcW w:w="521"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一级指标 </w:t>
            </w: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二级指标 </w:t>
            </w:r>
          </w:p>
        </w:tc>
        <w:tc>
          <w:tcPr>
            <w:tcW w:w="14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三级指标 </w:t>
            </w:r>
          </w:p>
        </w:tc>
        <w:tc>
          <w:tcPr>
            <w:tcW w:w="1801"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指标值（包含数字及文字描述）</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项目完成</w:t>
            </w:r>
          </w:p>
        </w:tc>
        <w:tc>
          <w:tcPr>
            <w:tcW w:w="739"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数量指标 </w:t>
            </w:r>
          </w:p>
        </w:tc>
        <w:tc>
          <w:tcPr>
            <w:tcW w:w="1410"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人数</w:t>
            </w:r>
          </w:p>
        </w:tc>
        <w:tc>
          <w:tcPr>
            <w:tcW w:w="1801"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离退休人员36名，其中党员22名。</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10"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开展“三会一课”活动次数</w:t>
            </w:r>
          </w:p>
        </w:tc>
        <w:tc>
          <w:tcPr>
            <w:tcW w:w="1801"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每月一次党员学习会，每月一次支委会和党小组会，每季度一次党课</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织织学习参观活动</w:t>
            </w: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预计2次</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质量指标 </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按照党支部计划要求执行</w:t>
            </w: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完成党支部计划和退休干部学习计划 </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时效指标 </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安排计划</w:t>
            </w: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2021年1月至12月</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成本指标</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安排计划</w:t>
            </w: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会议费支出2.5万元，其他商品和服务支出2.5万元，合计5万元</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项目效益</w:t>
            </w: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经济效益指标</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社会效益指标</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加强党组织生活和离退休干部学习活动</w:t>
            </w: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加强学习，提高认识，发挥离退休党员、干部的作用，为仁和区经济社会发展建言献策</w:t>
            </w: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生态效益指标</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可持续影响指标</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801"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RPr="002B6A9E" w:rsidTr="007149C1">
        <w:tc>
          <w:tcPr>
            <w:tcW w:w="52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21"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满意度指标 </w:t>
            </w:r>
          </w:p>
        </w:tc>
        <w:tc>
          <w:tcPr>
            <w:tcW w:w="73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服务对象满意度指标 </w:t>
            </w:r>
          </w:p>
        </w:tc>
        <w:tc>
          <w:tcPr>
            <w:tcW w:w="1410"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离退休党员、干部满意度</w:t>
            </w:r>
          </w:p>
        </w:tc>
        <w:tc>
          <w:tcPr>
            <w:tcW w:w="1801" w:type="pct"/>
            <w:tcBorders>
              <w:tl2br w:val="nil"/>
              <w:tr2bl w:val="nil"/>
            </w:tcBorders>
            <w:vAlign w:val="center"/>
          </w:tcPr>
          <w:p w:rsidR="002E60D2" w:rsidRPr="002B6A9E"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满意度达95%以上</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int="eastAsia"/>
          <w:szCs w:val="21"/>
        </w:rPr>
      </w:pPr>
      <w:r w:rsidRPr="002B6A9E">
        <w:rPr>
          <w:rFonts w:ascii="方正书宋简体" w:eastAsia="方正书宋简体" w:hint="eastAsia"/>
          <w:szCs w:val="21"/>
        </w:rPr>
        <w:t>（2021年度）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33"/>
        <w:gridCol w:w="1009"/>
        <w:gridCol w:w="1207"/>
        <w:gridCol w:w="2468"/>
        <w:gridCol w:w="3005"/>
      </w:tblGrid>
      <w:tr w:rsidR="002E60D2" w:rsidTr="007149C1">
        <w:tc>
          <w:tcPr>
            <w:tcW w:w="1788"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项目名称 </w:t>
            </w:r>
          </w:p>
        </w:tc>
        <w:tc>
          <w:tcPr>
            <w:tcW w:w="3211"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区人大专委会和工委业务经费</w:t>
            </w:r>
          </w:p>
        </w:tc>
      </w:tr>
      <w:tr w:rsidR="002E60D2" w:rsidTr="007149C1">
        <w:tc>
          <w:tcPr>
            <w:tcW w:w="1788"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预算单位</w:t>
            </w:r>
          </w:p>
        </w:tc>
        <w:tc>
          <w:tcPr>
            <w:tcW w:w="3211"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攀枝花市仁和区人民代表大会常务委员会</w:t>
            </w:r>
          </w:p>
        </w:tc>
      </w:tr>
      <w:tr w:rsidR="002E60D2" w:rsidTr="007149C1">
        <w:tc>
          <w:tcPr>
            <w:tcW w:w="1788"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项目资金(万元)</w:t>
            </w:r>
          </w:p>
        </w:tc>
        <w:tc>
          <w:tcPr>
            <w:tcW w:w="144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年度资金总额： </w:t>
            </w:r>
          </w:p>
        </w:tc>
        <w:tc>
          <w:tcPr>
            <w:tcW w:w="1763"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16.00</w:t>
            </w:r>
          </w:p>
        </w:tc>
      </w:tr>
      <w:tr w:rsidR="002E60D2" w:rsidTr="007149C1">
        <w:tc>
          <w:tcPr>
            <w:tcW w:w="1788"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4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其中：财政拨款 </w:t>
            </w:r>
          </w:p>
        </w:tc>
        <w:tc>
          <w:tcPr>
            <w:tcW w:w="1763"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16.00</w:t>
            </w:r>
          </w:p>
        </w:tc>
      </w:tr>
      <w:tr w:rsidR="002E60D2" w:rsidTr="007149C1">
        <w:tc>
          <w:tcPr>
            <w:tcW w:w="1788"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4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其他资金 </w:t>
            </w:r>
          </w:p>
        </w:tc>
        <w:tc>
          <w:tcPr>
            <w:tcW w:w="1763"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r>
      <w:tr w:rsidR="002E60D2" w:rsidTr="007149C1">
        <w:tc>
          <w:tcPr>
            <w:tcW w:w="48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总体目标 </w:t>
            </w:r>
          </w:p>
        </w:tc>
        <w:tc>
          <w:tcPr>
            <w:tcW w:w="4511"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年度目标</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4511"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保障3个人大专门委员会和5个区人大常委会工作委员会机构工作正常运转：1.区人大社会建设委员会；2.区人大社会建设委员会；3.区人大监督和司法委员会；4.区人大常委会人事代表工委；5.区人大常委会法工委；6.区人大常委会农业民族环保工委；7.区人大常委会教科文卫工委；8.区人大常委会财经工委</w:t>
            </w:r>
          </w:p>
        </w:tc>
      </w:tr>
      <w:tr w:rsidR="002E60D2" w:rsidTr="007149C1">
        <w:tc>
          <w:tcPr>
            <w:tcW w:w="48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绩效指标 </w:t>
            </w:r>
          </w:p>
        </w:tc>
        <w:tc>
          <w:tcPr>
            <w:tcW w:w="59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一级指标 </w:t>
            </w: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二级指标 </w:t>
            </w:r>
          </w:p>
        </w:tc>
        <w:tc>
          <w:tcPr>
            <w:tcW w:w="144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三级指标 </w:t>
            </w:r>
          </w:p>
        </w:tc>
        <w:tc>
          <w:tcPr>
            <w:tcW w:w="1763"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指标值（包含数字及文字描述）</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项目完成</w:t>
            </w:r>
          </w:p>
        </w:tc>
        <w:tc>
          <w:tcPr>
            <w:tcW w:w="70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数量指标 </w:t>
            </w:r>
          </w:p>
        </w:tc>
        <w:tc>
          <w:tcPr>
            <w:tcW w:w="144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工作机构</w:t>
            </w:r>
          </w:p>
        </w:tc>
        <w:tc>
          <w:tcPr>
            <w:tcW w:w="1763"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有8个工作机构</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4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工作机构会议</w:t>
            </w:r>
          </w:p>
        </w:tc>
        <w:tc>
          <w:tcPr>
            <w:tcW w:w="1763"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8个工作机构按计划开展会议，专题调研、专题视察活动</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工作机构开展学习、培训会</w:t>
            </w: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8个工作机构按照工作实际开展学习考察，组织委员培训、专题学习</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质量指标 </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依法完成全年区人大工作计划和区人大常委会工作任务</w:t>
            </w: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保障各作机构正常运转</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时效指标 </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按照工作计划执行</w:t>
            </w: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2021年1月至12月</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成本指标</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工作经费</w:t>
            </w: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8个工作机构，每个工作机构按照2万元预算经费，办公费3万元，会议费3万元，培训费5万元，其他商品和服务5万元，合计16万元</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项目效益</w:t>
            </w: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经济效益指标</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社会效益指标</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保障工作正常开展</w:t>
            </w: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人大各专门委员会和区人大常委会工委依法履行工作职责</w:t>
            </w: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生态效益指标</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可持续影响指标</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763"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RPr="002B6A9E" w:rsidTr="007149C1">
        <w:tc>
          <w:tcPr>
            <w:tcW w:w="4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9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满意度指标 </w:t>
            </w:r>
          </w:p>
        </w:tc>
        <w:tc>
          <w:tcPr>
            <w:tcW w:w="70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服务对象满意度指标 </w:t>
            </w:r>
          </w:p>
        </w:tc>
        <w:tc>
          <w:tcPr>
            <w:tcW w:w="144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8个机构成员满意度</w:t>
            </w:r>
          </w:p>
        </w:tc>
        <w:tc>
          <w:tcPr>
            <w:tcW w:w="1763" w:type="pct"/>
            <w:tcBorders>
              <w:tl2br w:val="nil"/>
              <w:tr2bl w:val="nil"/>
            </w:tcBorders>
            <w:vAlign w:val="center"/>
          </w:tcPr>
          <w:p w:rsidR="002E60D2" w:rsidRPr="002B6A9E"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满意度达95%以上</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int="eastAsia"/>
          <w:szCs w:val="21"/>
        </w:rPr>
      </w:pPr>
      <w:r w:rsidRPr="002B6A9E">
        <w:rPr>
          <w:rFonts w:ascii="方正书宋简体" w:eastAsia="方正书宋简体" w:hint="eastAsia"/>
          <w:szCs w:val="21"/>
        </w:rPr>
        <w:t>（2021年度）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899"/>
        <w:gridCol w:w="918"/>
        <w:gridCol w:w="1173"/>
        <w:gridCol w:w="2529"/>
        <w:gridCol w:w="3003"/>
      </w:tblGrid>
      <w:tr w:rsidR="002E60D2" w:rsidTr="007149C1">
        <w:tc>
          <w:tcPr>
            <w:tcW w:w="1753"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项目名称 </w:t>
            </w:r>
          </w:p>
        </w:tc>
        <w:tc>
          <w:tcPr>
            <w:tcW w:w="3246"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区乡人大代表订阅“一报一刊”经费</w:t>
            </w:r>
          </w:p>
        </w:tc>
      </w:tr>
      <w:tr w:rsidR="002E60D2" w:rsidTr="007149C1">
        <w:tc>
          <w:tcPr>
            <w:tcW w:w="1753"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预算单位</w:t>
            </w:r>
          </w:p>
        </w:tc>
        <w:tc>
          <w:tcPr>
            <w:tcW w:w="3246"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攀枝花市仁和区人民代表大会常务委员会</w:t>
            </w:r>
          </w:p>
        </w:tc>
      </w:tr>
      <w:tr w:rsidR="002E60D2" w:rsidTr="007149C1">
        <w:tc>
          <w:tcPr>
            <w:tcW w:w="1753"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项目资金(万元)</w:t>
            </w:r>
          </w:p>
        </w:tc>
        <w:tc>
          <w:tcPr>
            <w:tcW w:w="1484"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年度资金总额： </w:t>
            </w:r>
          </w:p>
        </w:tc>
        <w:tc>
          <w:tcPr>
            <w:tcW w:w="1762"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14.88</w:t>
            </w:r>
          </w:p>
        </w:tc>
      </w:tr>
      <w:tr w:rsidR="002E60D2" w:rsidTr="007149C1">
        <w:tc>
          <w:tcPr>
            <w:tcW w:w="1753"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84"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其中：财政拨款 </w:t>
            </w:r>
          </w:p>
        </w:tc>
        <w:tc>
          <w:tcPr>
            <w:tcW w:w="1762"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14.88</w:t>
            </w:r>
          </w:p>
        </w:tc>
      </w:tr>
      <w:tr w:rsidR="002E60D2" w:rsidTr="007149C1">
        <w:tc>
          <w:tcPr>
            <w:tcW w:w="1753"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84"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其他资金 </w:t>
            </w:r>
          </w:p>
        </w:tc>
        <w:tc>
          <w:tcPr>
            <w:tcW w:w="1762"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r>
      <w:tr w:rsidR="002E60D2" w:rsidTr="007149C1">
        <w:tc>
          <w:tcPr>
            <w:tcW w:w="52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总体目标 </w:t>
            </w:r>
          </w:p>
        </w:tc>
        <w:tc>
          <w:tcPr>
            <w:tcW w:w="4472"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年度目标</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4472"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根据（川人办[2020]81号文件）规定，订阅《民主法制建设》和《人民权力报》，区人大代表155份，乡镇人大代表645份,每人订阅一份</w:t>
            </w:r>
          </w:p>
        </w:tc>
      </w:tr>
      <w:tr w:rsidR="002E60D2" w:rsidTr="007149C1">
        <w:tc>
          <w:tcPr>
            <w:tcW w:w="52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绩效指标 </w:t>
            </w:r>
          </w:p>
        </w:tc>
        <w:tc>
          <w:tcPr>
            <w:tcW w:w="53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一级指标 </w:t>
            </w: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二级指标 </w:t>
            </w:r>
          </w:p>
        </w:tc>
        <w:tc>
          <w:tcPr>
            <w:tcW w:w="148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三级指标 </w:t>
            </w:r>
          </w:p>
        </w:tc>
        <w:tc>
          <w:tcPr>
            <w:tcW w:w="176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指标值（包含数字及文字描述）</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项目完成</w:t>
            </w:r>
          </w:p>
        </w:tc>
        <w:tc>
          <w:tcPr>
            <w:tcW w:w="68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数量指标 </w:t>
            </w:r>
          </w:p>
        </w:tc>
        <w:tc>
          <w:tcPr>
            <w:tcW w:w="1484"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订阅《民主法制建设》数量</w:t>
            </w:r>
          </w:p>
        </w:tc>
        <w:tc>
          <w:tcPr>
            <w:tcW w:w="1762"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800份</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订阅《人民权力报数量》</w:t>
            </w: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808份</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质量指标 </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订阅率</w:t>
            </w: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100%</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时效指标 </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按照文件要求</w:t>
            </w: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2021年1月至12月</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成本指标</w:t>
            </w:r>
          </w:p>
        </w:tc>
        <w:tc>
          <w:tcPr>
            <w:tcW w:w="1484"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《民主法制建设》价格</w:t>
            </w:r>
          </w:p>
        </w:tc>
        <w:tc>
          <w:tcPr>
            <w:tcW w:w="1762"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96元/份/年，合计7.68万元</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《人民权力报》价格</w:t>
            </w: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90元/份/年，合计7.2万元</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项目效益</w:t>
            </w: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经济效益指标</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社会效益指标</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提供人大代表学习资料</w:t>
            </w: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丰富人大代表学习内容，增加人大代表履职能力，更好的发挥人大代表作用，为仁和区经济建设和社会建设献计献策</w:t>
            </w: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生态效益指标</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可持续影响指标</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c>
          <w:tcPr>
            <w:tcW w:w="1762"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p>
        </w:tc>
      </w:tr>
      <w:tr w:rsidR="002E60D2" w:rsidRPr="002B6A9E" w:rsidTr="007149C1">
        <w:tc>
          <w:tcPr>
            <w:tcW w:w="52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6"/>
                <w:szCs w:val="16"/>
              </w:rPr>
            </w:pPr>
          </w:p>
        </w:tc>
        <w:tc>
          <w:tcPr>
            <w:tcW w:w="53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满意度指标 </w:t>
            </w:r>
          </w:p>
        </w:tc>
        <w:tc>
          <w:tcPr>
            <w:tcW w:w="68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服务对象满意度指标 </w:t>
            </w:r>
          </w:p>
        </w:tc>
        <w:tc>
          <w:tcPr>
            <w:tcW w:w="1484"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 xml:space="preserve">人大代表满意度 </w:t>
            </w:r>
          </w:p>
        </w:tc>
        <w:tc>
          <w:tcPr>
            <w:tcW w:w="1762" w:type="pct"/>
            <w:tcBorders>
              <w:tl2br w:val="nil"/>
              <w:tr2bl w:val="nil"/>
            </w:tcBorders>
            <w:vAlign w:val="center"/>
          </w:tcPr>
          <w:p w:rsidR="002E60D2" w:rsidRPr="002B6A9E" w:rsidRDefault="002E60D2" w:rsidP="007149C1">
            <w:pPr>
              <w:jc w:val="left"/>
              <w:rPr>
                <w:rFonts w:ascii="方正书宋简体" w:eastAsia="方正书宋简体" w:hAnsi="宋体" w:cs="宋体" w:hint="eastAsia"/>
                <w:color w:val="000000"/>
                <w:kern w:val="0"/>
                <w:sz w:val="16"/>
                <w:szCs w:val="16"/>
              </w:rPr>
            </w:pPr>
            <w:r w:rsidRPr="002B6A9E">
              <w:rPr>
                <w:rFonts w:ascii="方正书宋简体" w:eastAsia="方正书宋简体" w:hAnsi="宋体" w:cs="宋体" w:hint="eastAsia"/>
                <w:color w:val="000000"/>
                <w:kern w:val="0"/>
                <w:sz w:val="16"/>
                <w:szCs w:val="16"/>
              </w:rPr>
              <w:t>人大代表满意度达95%以上</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int="eastAsia"/>
          <w:szCs w:val="21"/>
        </w:rPr>
      </w:pPr>
      <w:r w:rsidRPr="002B6A9E">
        <w:rPr>
          <w:rFonts w:ascii="方正书宋简体" w:eastAsia="方正书宋简体" w:hint="eastAsia"/>
          <w:szCs w:val="21"/>
        </w:rPr>
        <w:t>（2021年度）</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942"/>
        <w:gridCol w:w="1036"/>
        <w:gridCol w:w="1341"/>
        <w:gridCol w:w="2195"/>
        <w:gridCol w:w="3008"/>
      </w:tblGrid>
      <w:tr w:rsidR="002E60D2" w:rsidTr="007149C1">
        <w:tc>
          <w:tcPr>
            <w:tcW w:w="1946"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项目名称 </w:t>
            </w:r>
          </w:p>
        </w:tc>
        <w:tc>
          <w:tcPr>
            <w:tcW w:w="3053"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仁和区区级人大代表活动经费</w:t>
            </w:r>
          </w:p>
        </w:tc>
      </w:tr>
      <w:tr w:rsidR="002E60D2" w:rsidTr="007149C1">
        <w:tc>
          <w:tcPr>
            <w:tcW w:w="1946"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预算单位</w:t>
            </w:r>
          </w:p>
        </w:tc>
        <w:tc>
          <w:tcPr>
            <w:tcW w:w="3053"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攀枝花市仁和区人民代表大会常务委员会</w:t>
            </w:r>
          </w:p>
        </w:tc>
      </w:tr>
      <w:tr w:rsidR="002E60D2" w:rsidTr="007149C1">
        <w:tc>
          <w:tcPr>
            <w:tcW w:w="1946"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项目资金(万元)</w:t>
            </w:r>
          </w:p>
        </w:tc>
        <w:tc>
          <w:tcPr>
            <w:tcW w:w="12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年度资金总额： </w:t>
            </w:r>
          </w:p>
        </w:tc>
        <w:tc>
          <w:tcPr>
            <w:tcW w:w="1765"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15.50</w:t>
            </w:r>
          </w:p>
        </w:tc>
      </w:tr>
      <w:tr w:rsidR="002E60D2" w:rsidTr="007149C1">
        <w:tc>
          <w:tcPr>
            <w:tcW w:w="1946"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12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其中：财政拨款 </w:t>
            </w:r>
          </w:p>
        </w:tc>
        <w:tc>
          <w:tcPr>
            <w:tcW w:w="1765"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15.50</w:t>
            </w:r>
          </w:p>
        </w:tc>
      </w:tr>
      <w:tr w:rsidR="002E60D2" w:rsidTr="007149C1">
        <w:tc>
          <w:tcPr>
            <w:tcW w:w="1946"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12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其他资金 </w:t>
            </w:r>
          </w:p>
        </w:tc>
        <w:tc>
          <w:tcPr>
            <w:tcW w:w="1765"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r>
      <w:tr w:rsidR="002E60D2" w:rsidTr="007149C1">
        <w:tc>
          <w:tcPr>
            <w:tcW w:w="55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总体目标 </w:t>
            </w:r>
          </w:p>
        </w:tc>
        <w:tc>
          <w:tcPr>
            <w:tcW w:w="4447"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年度目标</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4447"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优化代表履职服务保障，丰富闭会期间代表活动，督促代表建议意见办理</w:t>
            </w:r>
          </w:p>
        </w:tc>
      </w:tr>
      <w:tr w:rsidR="002E60D2" w:rsidTr="007149C1">
        <w:tc>
          <w:tcPr>
            <w:tcW w:w="55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绩效指标 </w:t>
            </w:r>
          </w:p>
        </w:tc>
        <w:tc>
          <w:tcPr>
            <w:tcW w:w="60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一级指标 </w:t>
            </w: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二级指标 </w:t>
            </w:r>
          </w:p>
        </w:tc>
        <w:tc>
          <w:tcPr>
            <w:tcW w:w="12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三级指标 </w:t>
            </w:r>
          </w:p>
        </w:tc>
        <w:tc>
          <w:tcPr>
            <w:tcW w:w="1765"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指标值（包含数字及文字描述）</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项目完成</w:t>
            </w:r>
          </w:p>
        </w:tc>
        <w:tc>
          <w:tcPr>
            <w:tcW w:w="786"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数量指标 </w:t>
            </w:r>
          </w:p>
        </w:tc>
        <w:tc>
          <w:tcPr>
            <w:tcW w:w="12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区人大代表人数</w:t>
            </w:r>
          </w:p>
        </w:tc>
        <w:tc>
          <w:tcPr>
            <w:tcW w:w="1765" w:type="pct"/>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155名</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区人大代表每年开展活动情况</w:t>
            </w: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由各乡镇、街办负责组织人大代表开展活动，原则上每年不少于2次活动 </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质量指标 </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提高代表履职能力</w:t>
            </w: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优化人大代表履职服务水平，保障人大代表在大会闭会期间行使人大代表的职责，开展调研、收集群众反映的意见建议，依法监督代表提出的意见建议办理情况等活动</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时效指标 </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按照年度工作计划实施</w:t>
            </w: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2021年</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成本指标</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人大代表活动工作经费</w:t>
            </w: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155名区级人大代表，工作经费按照1000元/人/年标准预算，合计15.5万元</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项目效益</w:t>
            </w: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经济效益指标</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社会效益指标</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保障区级人大代表履职活动开展</w:t>
            </w: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保障区级人大代表在大会闭会期间履行人大代表的工作职责，充分发挥人大代表的作用，督促代表意见建议办理，依法监督各项工作开展</w:t>
            </w: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生态效益指标</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p>
        </w:tc>
      </w:tr>
      <w:tr w:rsidR="002E60D2"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可持续影响指标</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p>
        </w:tc>
        <w:tc>
          <w:tcPr>
            <w:tcW w:w="1765"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p>
        </w:tc>
      </w:tr>
      <w:tr w:rsidR="002E60D2" w:rsidRPr="002B6A9E" w:rsidTr="007149C1">
        <w:tc>
          <w:tcPr>
            <w:tcW w:w="5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color w:val="000000"/>
                <w:kern w:val="0"/>
                <w:sz w:val="18"/>
                <w:szCs w:val="18"/>
              </w:rPr>
            </w:pPr>
          </w:p>
        </w:tc>
        <w:tc>
          <w:tcPr>
            <w:tcW w:w="60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满意度指标 </w:t>
            </w:r>
          </w:p>
        </w:tc>
        <w:tc>
          <w:tcPr>
            <w:tcW w:w="78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 xml:space="preserve">服务对象满意度指标 </w:t>
            </w:r>
          </w:p>
        </w:tc>
        <w:tc>
          <w:tcPr>
            <w:tcW w:w="1288" w:type="pct"/>
            <w:tcBorders>
              <w:tl2br w:val="nil"/>
              <w:tr2bl w:val="nil"/>
            </w:tcBorders>
            <w:vAlign w:val="center"/>
          </w:tcPr>
          <w:p w:rsidR="002E60D2"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区级人大代表满意度</w:t>
            </w:r>
          </w:p>
        </w:tc>
        <w:tc>
          <w:tcPr>
            <w:tcW w:w="1765" w:type="pct"/>
            <w:tcBorders>
              <w:tl2br w:val="nil"/>
              <w:tr2bl w:val="nil"/>
            </w:tcBorders>
            <w:vAlign w:val="center"/>
          </w:tcPr>
          <w:p w:rsidR="002E60D2" w:rsidRPr="002B6A9E" w:rsidRDefault="002E60D2" w:rsidP="007149C1">
            <w:pPr>
              <w:jc w:val="left"/>
              <w:rPr>
                <w:rFonts w:ascii="方正书宋简体" w:eastAsia="方正书宋简体" w:hAnsi="宋体" w:cs="宋体" w:hint="eastAsia"/>
                <w:color w:val="000000"/>
                <w:kern w:val="0"/>
                <w:sz w:val="18"/>
                <w:szCs w:val="18"/>
              </w:rPr>
            </w:pPr>
            <w:r w:rsidRPr="002B6A9E">
              <w:rPr>
                <w:rFonts w:ascii="方正书宋简体" w:eastAsia="方正书宋简体" w:hAnsi="宋体" w:cs="宋体" w:hint="eastAsia"/>
                <w:color w:val="000000"/>
                <w:kern w:val="0"/>
                <w:sz w:val="18"/>
                <w:szCs w:val="18"/>
              </w:rPr>
              <w:t>满意度大于95%</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Ansi="方正书宋简体" w:cs="方正书宋简体" w:hint="eastAsia"/>
        </w:rPr>
      </w:pPr>
      <w:r w:rsidRPr="002B6A9E">
        <w:rPr>
          <w:rFonts w:ascii="方正书宋简体" w:eastAsia="方正书宋简体" w:hAnsi="方正书宋简体" w:cs="方正书宋简体" w:hint="eastAsia"/>
        </w:rPr>
        <w:t>（2021年度）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6"/>
        <w:gridCol w:w="950"/>
        <w:gridCol w:w="1282"/>
        <w:gridCol w:w="2275"/>
        <w:gridCol w:w="3099"/>
      </w:tblGrid>
      <w:tr w:rsidR="002E60D2" w:rsidTr="007149C1">
        <w:tc>
          <w:tcPr>
            <w:tcW w:w="1846"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项目名称 </w:t>
            </w:r>
          </w:p>
        </w:tc>
        <w:tc>
          <w:tcPr>
            <w:tcW w:w="3153"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仁和区人大常委会、主任会经费</w:t>
            </w:r>
          </w:p>
        </w:tc>
      </w:tr>
      <w:tr w:rsidR="002E60D2" w:rsidTr="007149C1">
        <w:tc>
          <w:tcPr>
            <w:tcW w:w="1846"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预算单位</w:t>
            </w:r>
          </w:p>
        </w:tc>
        <w:tc>
          <w:tcPr>
            <w:tcW w:w="3153"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攀枝花市仁和区人民代表大会常务委员会</w:t>
            </w:r>
          </w:p>
        </w:tc>
      </w:tr>
      <w:tr w:rsidR="002E60D2" w:rsidTr="007149C1">
        <w:tc>
          <w:tcPr>
            <w:tcW w:w="1846"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项目资金(万元)</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年度资金总额：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3.00</w:t>
            </w:r>
          </w:p>
        </w:tc>
      </w:tr>
      <w:tr w:rsidR="002E60D2" w:rsidTr="007149C1">
        <w:tc>
          <w:tcPr>
            <w:tcW w:w="1846"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其中：财政拨款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3.00</w:t>
            </w:r>
          </w:p>
        </w:tc>
      </w:tr>
      <w:tr w:rsidR="002E60D2" w:rsidTr="007149C1">
        <w:tc>
          <w:tcPr>
            <w:tcW w:w="1846"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其他资金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3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总体目标 </w:t>
            </w:r>
          </w:p>
        </w:tc>
        <w:tc>
          <w:tcPr>
            <w:tcW w:w="4462"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年度目标　</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4462"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在区人民代表大会闭会期间，区人大常委会行使人民代表大会的职权，为仁和区经济、社会发展服好务</w:t>
            </w:r>
          </w:p>
        </w:tc>
      </w:tr>
      <w:tr w:rsidR="002E60D2" w:rsidTr="007149C1">
        <w:tc>
          <w:tcPr>
            <w:tcW w:w="53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绩效指标 </w:t>
            </w:r>
          </w:p>
        </w:tc>
        <w:tc>
          <w:tcPr>
            <w:tcW w:w="55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一级指标 </w:t>
            </w: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二级指标 </w:t>
            </w:r>
          </w:p>
        </w:tc>
        <w:tc>
          <w:tcPr>
            <w:tcW w:w="1335"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三级指标 </w:t>
            </w:r>
          </w:p>
        </w:tc>
        <w:tc>
          <w:tcPr>
            <w:tcW w:w="181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指标值（包含数字及文字描述）</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项目完成</w:t>
            </w:r>
          </w:p>
        </w:tc>
        <w:tc>
          <w:tcPr>
            <w:tcW w:w="75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数量指标 </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仁和区人大常委会会议次数</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按照工作计划执行</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5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仁和区人大常委会主任会议</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按照工作计划执行</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质量指标 </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按照会议安排</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完成会议的各项要求</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时效指标 </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按照工作计划</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2021年1月至12月</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成本指标</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会议标准</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按照攀仁委办[2014]126号文件规定执行，会议费3万元</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社会效益指标</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保障会议正常运转</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保障区人大常委会、主任会议顺利召开，依法行使人民代表大会职权</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生态效益指标</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可持续影响指标</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RPr="002B6A9E" w:rsidTr="007149C1">
        <w:tc>
          <w:tcPr>
            <w:tcW w:w="53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5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满意度指标 </w:t>
            </w:r>
          </w:p>
        </w:tc>
        <w:tc>
          <w:tcPr>
            <w:tcW w:w="752"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服务对象满意度指标 </w:t>
            </w:r>
          </w:p>
        </w:tc>
        <w:tc>
          <w:tcPr>
            <w:tcW w:w="13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参会人员满意度</w:t>
            </w:r>
          </w:p>
        </w:tc>
        <w:tc>
          <w:tcPr>
            <w:tcW w:w="1817" w:type="pct"/>
            <w:tcBorders>
              <w:tl2br w:val="nil"/>
              <w:tr2bl w:val="nil"/>
            </w:tcBorders>
            <w:vAlign w:val="center"/>
          </w:tcPr>
          <w:p w:rsidR="002E60D2" w:rsidRPr="002B6A9E"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满意度大于95%</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Ansi="方正书宋简体" w:cs="方正书宋简体" w:hint="eastAsia"/>
        </w:rPr>
      </w:pPr>
      <w:r w:rsidRPr="002B6A9E">
        <w:rPr>
          <w:rFonts w:ascii="方正书宋简体" w:eastAsia="方正书宋简体" w:hAnsi="方正书宋简体" w:cs="方正书宋简体" w:hint="eastAsia"/>
        </w:rPr>
        <w:t>（2021年度）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1"/>
        <w:gridCol w:w="956"/>
        <w:gridCol w:w="1212"/>
        <w:gridCol w:w="2371"/>
        <w:gridCol w:w="3092"/>
      </w:tblGrid>
      <w:tr w:rsidR="002E60D2" w:rsidTr="007149C1">
        <w:tc>
          <w:tcPr>
            <w:tcW w:w="1794"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项目名称 </w:t>
            </w:r>
          </w:p>
        </w:tc>
        <w:tc>
          <w:tcPr>
            <w:tcW w:w="3205"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仁和区人大常委会组成人员及人大代表培训经费</w:t>
            </w:r>
          </w:p>
        </w:tc>
      </w:tr>
      <w:tr w:rsidR="002E60D2" w:rsidTr="007149C1">
        <w:tc>
          <w:tcPr>
            <w:tcW w:w="1794"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预算单位</w:t>
            </w:r>
          </w:p>
        </w:tc>
        <w:tc>
          <w:tcPr>
            <w:tcW w:w="3205"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攀枝花市仁和区人民代表大会常务委员会</w:t>
            </w:r>
          </w:p>
        </w:tc>
      </w:tr>
      <w:tr w:rsidR="002E60D2" w:rsidTr="007149C1">
        <w:tc>
          <w:tcPr>
            <w:tcW w:w="1794"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项目资金(万元)</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年度资金总额：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20.00</w:t>
            </w:r>
          </w:p>
        </w:tc>
      </w:tr>
      <w:tr w:rsidR="002E60D2" w:rsidTr="007149C1">
        <w:tc>
          <w:tcPr>
            <w:tcW w:w="1794"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其中：财政拨款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20.00</w:t>
            </w:r>
          </w:p>
        </w:tc>
      </w:tr>
      <w:tr w:rsidR="002E60D2" w:rsidTr="007149C1">
        <w:tc>
          <w:tcPr>
            <w:tcW w:w="1794"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其他资金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2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总体目标 </w:t>
            </w:r>
          </w:p>
        </w:tc>
        <w:tc>
          <w:tcPr>
            <w:tcW w:w="4477"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年度目标</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4477"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加强学习，提高市、区、乡镇人大代表履职能力，促进人大代表全面熟悉人民代表大会制度，掌握人大代表履职所需的法律、法规知识和其他专业知识</w:t>
            </w:r>
          </w:p>
        </w:tc>
      </w:tr>
      <w:tr w:rsidR="002E60D2" w:rsidTr="007149C1">
        <w:tc>
          <w:tcPr>
            <w:tcW w:w="522"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绩效指标 </w:t>
            </w:r>
          </w:p>
        </w:tc>
        <w:tc>
          <w:tcPr>
            <w:tcW w:w="561"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一级指标 </w:t>
            </w: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二级指标 </w:t>
            </w:r>
          </w:p>
        </w:tc>
        <w:tc>
          <w:tcPr>
            <w:tcW w:w="1391"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三级指标 </w:t>
            </w:r>
          </w:p>
        </w:tc>
        <w:tc>
          <w:tcPr>
            <w:tcW w:w="181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指标值（包含数字及文字描述）</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项目完成</w:t>
            </w:r>
          </w:p>
        </w:tc>
        <w:tc>
          <w:tcPr>
            <w:tcW w:w="71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数量指标 </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培训人数</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市、区人大代表及乡镇人大主席团成员，合计246名</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外出学习培训</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1、组织区人大常委会组成人员、部分市、区人大代表参加，培训二期。2、组织乡镇人大主席外出学习一期</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组织区人大代表和乡镇人大主席团培训一期</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一期。</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质量指标 </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代表培训率</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区人大代表达到100%以上</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提高人大代表履职能力水平</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能过组级织人大代表学习，有效提升人大代表履职水平，充分发挥人大代表的职责</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时效指标 </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按计划执行</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2021上半年外出培训二期，下半组织区人大代表和乡镇人大组席团成员培训二期</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成本指标</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培训标准</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以节约开支为前提，提高培训效益和质量为主，严格按照相关培训费、差旅费标准执行。培训费10万元，差旅费10万元，合计20万元</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项目效益</w:t>
            </w: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经济效益指标</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社会效益指标</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提升人大代表履职能力</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全面推进人大工作开展，提升市、区、乡镇人大代表履职能力提升，为全区经济建设和社会发展服好务</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生态效益指标</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可持续影响指标</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RPr="002B6A9E" w:rsidTr="007149C1">
        <w:tc>
          <w:tcPr>
            <w:tcW w:w="522"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1"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满意度指标 </w:t>
            </w:r>
          </w:p>
        </w:tc>
        <w:tc>
          <w:tcPr>
            <w:tcW w:w="71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服务对象满意度指标 </w:t>
            </w:r>
          </w:p>
        </w:tc>
        <w:tc>
          <w:tcPr>
            <w:tcW w:w="1391"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区级人大代表满意度</w:t>
            </w:r>
          </w:p>
        </w:tc>
        <w:tc>
          <w:tcPr>
            <w:tcW w:w="1814" w:type="pct"/>
            <w:tcBorders>
              <w:tl2br w:val="nil"/>
              <w:tr2bl w:val="nil"/>
            </w:tcBorders>
            <w:vAlign w:val="center"/>
          </w:tcPr>
          <w:p w:rsidR="002E60D2" w:rsidRPr="002B6A9E"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满意度达到95%以上</w:t>
            </w:r>
          </w:p>
        </w:tc>
      </w:tr>
    </w:tbl>
    <w:p w:rsidR="002E60D2" w:rsidRPr="002B6A9E" w:rsidRDefault="002E60D2" w:rsidP="002E60D2">
      <w:pPr>
        <w:tabs>
          <w:tab w:val="right" w:leader="dot" w:pos="9040"/>
          <w:tab w:val="right" w:leader="middleDot" w:pos="9240"/>
        </w:tabs>
        <w:spacing w:line="400" w:lineRule="exact"/>
        <w:ind w:left="315" w:hangingChars="150" w:hanging="315"/>
        <w:jc w:val="center"/>
        <w:rPr>
          <w:rFonts w:eastAsia="方正书宋简体" w:hint="eastAsia"/>
        </w:rPr>
      </w:pPr>
    </w:p>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Ansi="方正书宋简体" w:cs="方正书宋简体" w:hint="eastAsia"/>
        </w:rPr>
      </w:pPr>
      <w:r w:rsidRPr="002B6A9E">
        <w:rPr>
          <w:rFonts w:ascii="方正书宋简体" w:eastAsia="方正书宋简体" w:hAnsi="方正书宋简体" w:cs="方正书宋简体" w:hint="eastAsia"/>
        </w:rPr>
        <w:t>（2021年度）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4"/>
        <w:gridCol w:w="967"/>
        <w:gridCol w:w="1158"/>
        <w:gridCol w:w="2410"/>
        <w:gridCol w:w="3093"/>
      </w:tblGrid>
      <w:tr w:rsidR="002E60D2" w:rsidTr="007149C1">
        <w:tc>
          <w:tcPr>
            <w:tcW w:w="1770"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项目名称 </w:t>
            </w:r>
          </w:p>
        </w:tc>
        <w:tc>
          <w:tcPr>
            <w:tcW w:w="3229"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仁和区十二届人民代表大会第八次会议经费</w:t>
            </w:r>
          </w:p>
        </w:tc>
      </w:tr>
      <w:tr w:rsidR="002E60D2" w:rsidTr="007149C1">
        <w:tc>
          <w:tcPr>
            <w:tcW w:w="1770"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预算单位</w:t>
            </w:r>
          </w:p>
        </w:tc>
        <w:tc>
          <w:tcPr>
            <w:tcW w:w="3229"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攀枝花市仁和区人民代表大会常务委员会</w:t>
            </w:r>
          </w:p>
        </w:tc>
      </w:tr>
      <w:tr w:rsidR="002E60D2" w:rsidTr="007149C1">
        <w:tc>
          <w:tcPr>
            <w:tcW w:w="1770"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项目资金(万元)</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年度资金总额：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66.00</w:t>
            </w:r>
          </w:p>
        </w:tc>
      </w:tr>
      <w:tr w:rsidR="002E60D2" w:rsidTr="007149C1">
        <w:tc>
          <w:tcPr>
            <w:tcW w:w="1770"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其中：财政拨款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66.00</w:t>
            </w:r>
          </w:p>
        </w:tc>
      </w:tr>
      <w:tr w:rsidR="002E60D2" w:rsidTr="007149C1">
        <w:tc>
          <w:tcPr>
            <w:tcW w:w="1770"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其他资金 </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24"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总体目标 </w:t>
            </w:r>
          </w:p>
        </w:tc>
        <w:tc>
          <w:tcPr>
            <w:tcW w:w="567" w:type="pc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年度目标</w:t>
            </w:r>
          </w:p>
        </w:tc>
        <w:tc>
          <w:tcPr>
            <w:tcW w:w="678" w:type="pct"/>
            <w:tcBorders>
              <w:tl2br w:val="nil"/>
              <w:tr2bl w:val="nil"/>
            </w:tcBorders>
            <w:noWrap/>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414" w:type="pct"/>
            <w:tcBorders>
              <w:tl2br w:val="nil"/>
              <w:tr2bl w:val="nil"/>
            </w:tcBorders>
            <w:noWrap/>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4" w:type="pct"/>
            <w:tcBorders>
              <w:tl2br w:val="nil"/>
              <w:tr2bl w:val="nil"/>
            </w:tcBorders>
            <w:noWrap/>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4475"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保障仁和区十二届人民代表大会第八次会议顺利召开，完成会议议程</w:t>
            </w:r>
          </w:p>
        </w:tc>
      </w:tr>
      <w:tr w:rsidR="002E60D2" w:rsidTr="007149C1">
        <w:tc>
          <w:tcPr>
            <w:tcW w:w="524"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绩效指标 </w:t>
            </w:r>
          </w:p>
        </w:tc>
        <w:tc>
          <w:tcPr>
            <w:tcW w:w="56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一级指标 </w:t>
            </w: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二级指标 </w:t>
            </w:r>
          </w:p>
        </w:tc>
        <w:tc>
          <w:tcPr>
            <w:tcW w:w="141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三级指标 </w:t>
            </w:r>
          </w:p>
        </w:tc>
        <w:tc>
          <w:tcPr>
            <w:tcW w:w="181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指标值（包含数字及文字描述）</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项目完成</w:t>
            </w:r>
          </w:p>
        </w:tc>
        <w:tc>
          <w:tcPr>
            <w:tcW w:w="67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数量指标 </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会期</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预计4天</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参会人数</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预计参会人数370左右</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质量指标 </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完成大会会议议程和要求</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按照大会的要求和大会会议议程执行</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时效指标 </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会议时间</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预计在2021年1月至2月</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成本指标</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会议标准</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根据攀仁委办[2014]126号文件规定，一类会议经费，控制在参会人员每人每天440元以内。切实按时厉行节约反对浪费，精简会议要求开好会议，提高会议效率和质量，会议经费66万元</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项目效益</w:t>
            </w: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经济效益指标</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会议作出的决议决定</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保障会议作出的经济指标在仁和区顺利执行</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社会效益指标</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大会作出的决议决定</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保障大会在社会方面的工作顺利实施和完善</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生态效益指标</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大会作出的决定决议</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保障大会在生态方面的工作顺利开展和实施</w:t>
            </w:r>
          </w:p>
        </w:tc>
      </w:tr>
      <w:tr w:rsidR="002E60D2"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可持续影响指标</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大会作出的决议决定</w:t>
            </w:r>
          </w:p>
        </w:tc>
        <w:tc>
          <w:tcPr>
            <w:tcW w:w="18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保障仁和区2021年经济、社会、生态可持续全面发展</w:t>
            </w:r>
          </w:p>
        </w:tc>
      </w:tr>
      <w:tr w:rsidR="002E60D2" w:rsidRPr="002B6A9E" w:rsidTr="007149C1">
        <w:tc>
          <w:tcPr>
            <w:tcW w:w="5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满意度指标 </w:t>
            </w:r>
          </w:p>
        </w:tc>
        <w:tc>
          <w:tcPr>
            <w:tcW w:w="67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服务对象满意度指标 </w:t>
            </w:r>
          </w:p>
        </w:tc>
        <w:tc>
          <w:tcPr>
            <w:tcW w:w="1414"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代表满意度</w:t>
            </w:r>
          </w:p>
        </w:tc>
        <w:tc>
          <w:tcPr>
            <w:tcW w:w="1814" w:type="pct"/>
            <w:tcBorders>
              <w:tl2br w:val="nil"/>
              <w:tr2bl w:val="nil"/>
            </w:tcBorders>
            <w:vAlign w:val="center"/>
          </w:tcPr>
          <w:p w:rsidR="002E60D2" w:rsidRPr="002B6A9E"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满意度达95%以上</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Ansi="方正书宋简体" w:cs="方正书宋简体" w:hint="eastAsia"/>
        </w:rPr>
      </w:pPr>
      <w:r w:rsidRPr="002B6A9E">
        <w:rPr>
          <w:rFonts w:ascii="方正书宋简体" w:eastAsia="方正书宋简体" w:hAnsi="方正书宋简体" w:cs="方正书宋简体" w:hint="eastAsia"/>
        </w:rPr>
        <w:t>（2021年度）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3"/>
        <w:gridCol w:w="1019"/>
        <w:gridCol w:w="1236"/>
        <w:gridCol w:w="2315"/>
        <w:gridCol w:w="3099"/>
      </w:tblGrid>
      <w:tr w:rsidR="002E60D2" w:rsidTr="007149C1">
        <w:tc>
          <w:tcPr>
            <w:tcW w:w="1823"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项目名称 </w:t>
            </w:r>
          </w:p>
        </w:tc>
        <w:tc>
          <w:tcPr>
            <w:tcW w:w="3176"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仁和区十三届人大代表及乡（镇）人大代表换届选举经费</w:t>
            </w:r>
          </w:p>
        </w:tc>
      </w:tr>
      <w:tr w:rsidR="002E60D2" w:rsidTr="007149C1">
        <w:tc>
          <w:tcPr>
            <w:tcW w:w="1823"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预算单位</w:t>
            </w:r>
          </w:p>
        </w:tc>
        <w:tc>
          <w:tcPr>
            <w:tcW w:w="3176"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攀枝花市仁和区人民代表大会常务委员会</w:t>
            </w:r>
          </w:p>
        </w:tc>
      </w:tr>
      <w:tr w:rsidR="002E60D2" w:rsidTr="007149C1">
        <w:tc>
          <w:tcPr>
            <w:tcW w:w="1823"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项目资金(万元)</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年度资金总额：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107.00</w:t>
            </w:r>
          </w:p>
        </w:tc>
      </w:tr>
      <w:tr w:rsidR="002E60D2" w:rsidTr="007149C1">
        <w:tc>
          <w:tcPr>
            <w:tcW w:w="1823"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其中：财政拨款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107.00</w:t>
            </w:r>
          </w:p>
        </w:tc>
      </w:tr>
      <w:tr w:rsidR="002E60D2" w:rsidTr="007149C1">
        <w:tc>
          <w:tcPr>
            <w:tcW w:w="1823"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其他资金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0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总体目标 </w:t>
            </w:r>
          </w:p>
        </w:tc>
        <w:tc>
          <w:tcPr>
            <w:tcW w:w="4499"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年度目标　　</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4499"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根据《宪法》和《地方组织法》的规定，2021年是我区换届年，为了依法开展换届选举工作，保障仁和区十三届人大代表及乡（镇）人大代表换届选举工作顺利开完成</w:t>
            </w:r>
          </w:p>
        </w:tc>
      </w:tr>
      <w:tr w:rsidR="002E60D2" w:rsidTr="007149C1">
        <w:tc>
          <w:tcPr>
            <w:tcW w:w="50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绩效指标 </w:t>
            </w:r>
          </w:p>
        </w:tc>
        <w:tc>
          <w:tcPr>
            <w:tcW w:w="59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一级指标 </w:t>
            </w: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二级指标 </w:t>
            </w:r>
          </w:p>
        </w:tc>
        <w:tc>
          <w:tcPr>
            <w:tcW w:w="135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三级指标 </w:t>
            </w:r>
          </w:p>
        </w:tc>
        <w:tc>
          <w:tcPr>
            <w:tcW w:w="181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指标值（包含数字及文字描述）</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项目完成</w:t>
            </w:r>
          </w:p>
        </w:tc>
        <w:tc>
          <w:tcPr>
            <w:tcW w:w="724"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数量指标 </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选民人数</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预计选民人数17万人</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资料数量</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1.印区乡两级选票预计34万张；2.印选举公告预计1.5在发张；3.印选民证预计17万张；5.资料费和各种表册</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集中学习培训会</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组织两期</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质量指标 </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按照换届选举工作要求</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依法选举产生仁和区十三届人大代表，依法选举产生各乡镇人大代表</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时效指标 </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按照换届选举工作方案执行</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2021年</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成本指标</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印刷费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预计54万元</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办公费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预计6万元</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会议费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3万元</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培训费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预计4万元</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其他费用</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预计40万元，安排到各乡镇开展换届选工作</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项目效益</w:t>
            </w: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经济效益指标</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社会效益指标</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履行法定职责</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根据《地方组织法》和《选举法》的规定，2021年仁和区区、乡（镇）人大代表要进行换届选举工作。为了保障此项工作顺利开展，依法选举产生新一届区、乡（镇）人大代表</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生态效益指标</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可持续影响指标</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RPr="002B6A9E" w:rsidTr="007149C1">
        <w:tc>
          <w:tcPr>
            <w:tcW w:w="50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9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满意度指标 </w:t>
            </w:r>
          </w:p>
        </w:tc>
        <w:tc>
          <w:tcPr>
            <w:tcW w:w="724"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服务对象满意度指标 </w:t>
            </w:r>
          </w:p>
        </w:tc>
        <w:tc>
          <w:tcPr>
            <w:tcW w:w="135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参加人员满意度</w:t>
            </w:r>
          </w:p>
        </w:tc>
        <w:tc>
          <w:tcPr>
            <w:tcW w:w="1817" w:type="pct"/>
            <w:tcBorders>
              <w:tl2br w:val="nil"/>
              <w:tr2bl w:val="nil"/>
            </w:tcBorders>
            <w:vAlign w:val="center"/>
          </w:tcPr>
          <w:p w:rsidR="002E60D2" w:rsidRPr="002B6A9E"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参加人员满意度达95%以上</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Ansi="方正书宋简体" w:cs="方正书宋简体" w:hint="eastAsia"/>
        </w:rPr>
      </w:pPr>
      <w:r w:rsidRPr="002B6A9E">
        <w:rPr>
          <w:rFonts w:ascii="方正书宋简体" w:eastAsia="方正书宋简体" w:hAnsi="方正书宋简体" w:cs="方正书宋简体" w:hint="eastAsia"/>
        </w:rPr>
        <w:t>（2021年度）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
        <w:gridCol w:w="921"/>
        <w:gridCol w:w="1174"/>
        <w:gridCol w:w="2446"/>
        <w:gridCol w:w="3097"/>
      </w:tblGrid>
      <w:tr w:rsidR="002E60D2" w:rsidTr="007149C1">
        <w:tc>
          <w:tcPr>
            <w:tcW w:w="1747"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项目名称 </w:t>
            </w:r>
          </w:p>
        </w:tc>
        <w:tc>
          <w:tcPr>
            <w:tcW w:w="3252"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乡镇、街办“人大代表之家”活动室运行维护费</w:t>
            </w:r>
          </w:p>
        </w:tc>
      </w:tr>
      <w:tr w:rsidR="002E60D2" w:rsidTr="007149C1">
        <w:tc>
          <w:tcPr>
            <w:tcW w:w="1747"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预算单位</w:t>
            </w:r>
          </w:p>
        </w:tc>
        <w:tc>
          <w:tcPr>
            <w:tcW w:w="3252"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攀枝花市仁和区人民代表大会常务委员会</w:t>
            </w:r>
          </w:p>
        </w:tc>
      </w:tr>
      <w:tr w:rsidR="002E60D2" w:rsidTr="007149C1">
        <w:tc>
          <w:tcPr>
            <w:tcW w:w="1747"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项目资金(万元)</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年度资金总额： </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11.40</w:t>
            </w:r>
          </w:p>
        </w:tc>
      </w:tr>
      <w:tr w:rsidR="002E60D2" w:rsidTr="007149C1">
        <w:tc>
          <w:tcPr>
            <w:tcW w:w="1747"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其中：财政拨款 </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11.40</w:t>
            </w:r>
          </w:p>
        </w:tc>
      </w:tr>
      <w:tr w:rsidR="002E60D2" w:rsidTr="007149C1">
        <w:tc>
          <w:tcPr>
            <w:tcW w:w="1747"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其他资金 </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1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总体目标 </w:t>
            </w:r>
          </w:p>
        </w:tc>
        <w:tc>
          <w:tcPr>
            <w:tcW w:w="4481"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年度目标　</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4481"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全区13个乡镇1个街办建立了“人大代表之家”活动室及6个“人大代表之家”中心联络站，为了保障建立的活动室正常运转维护，切实开展好人大代表活动，密切联系群众，按照每年6000元一个活动室预算运行维护费用</w:t>
            </w:r>
          </w:p>
        </w:tc>
      </w:tr>
      <w:tr w:rsidR="002E60D2" w:rsidTr="007149C1">
        <w:tc>
          <w:tcPr>
            <w:tcW w:w="51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绩效指标 </w:t>
            </w:r>
          </w:p>
        </w:tc>
        <w:tc>
          <w:tcPr>
            <w:tcW w:w="54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一级指标 </w:t>
            </w: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二级指标 </w:t>
            </w:r>
          </w:p>
        </w:tc>
        <w:tc>
          <w:tcPr>
            <w:tcW w:w="1435"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三级指标 </w:t>
            </w:r>
          </w:p>
        </w:tc>
        <w:tc>
          <w:tcPr>
            <w:tcW w:w="1816"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指标值（包含数字及文字描述）</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项目完成</w:t>
            </w: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数量指标 </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“人大代表之家”数量</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20个</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质量指标 </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计划执行</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按照“人大代表之家”活动要求执行</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时效指标 </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工作计划</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2021年1月至12月</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成本指标</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按照工作计划</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全区共有20个“人大代表之家”活动室，每个6000元，主要支付：网络服务费、管理维护费、代表开展活的办公费。合计11.4万元，金江镇“人大代表之家”活动维护费由巩钛园区解决资金</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项目效益</w:t>
            </w: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经济效益指标</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社会效益指标</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加强人大代表与群众密切联系</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方便群众反映情况，人大代表密切联系群众，为人大代表提供一个学习、办公活动的场所</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生态效益指标</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可持续影响指标</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满意度指标 </w:t>
            </w:r>
          </w:p>
        </w:tc>
        <w:tc>
          <w:tcPr>
            <w:tcW w:w="688"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服务对象满意度指标 </w:t>
            </w: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参加活动的人大代表满意度</w:t>
            </w:r>
          </w:p>
        </w:tc>
        <w:tc>
          <w:tcPr>
            <w:tcW w:w="1816"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满意度达95%以上</w:t>
            </w:r>
          </w:p>
        </w:tc>
      </w:tr>
      <w:tr w:rsidR="002E60D2" w:rsidRPr="002B6A9E" w:rsidTr="007149C1">
        <w:tc>
          <w:tcPr>
            <w:tcW w:w="51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4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88"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435"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参加的群众满意度</w:t>
            </w:r>
          </w:p>
        </w:tc>
        <w:tc>
          <w:tcPr>
            <w:tcW w:w="1816" w:type="pct"/>
            <w:tcBorders>
              <w:tl2br w:val="nil"/>
              <w:tr2bl w:val="nil"/>
            </w:tcBorders>
            <w:vAlign w:val="center"/>
          </w:tcPr>
          <w:p w:rsidR="002E60D2" w:rsidRPr="002B6A9E"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满意度达95%以上</w:t>
            </w:r>
          </w:p>
        </w:tc>
      </w:tr>
    </w:tbl>
    <w:p w:rsidR="002E60D2" w:rsidRDefault="002E60D2" w:rsidP="002E60D2">
      <w:pPr>
        <w:tabs>
          <w:tab w:val="right" w:leader="dot" w:pos="9040"/>
          <w:tab w:val="right" w:leader="middleDot" w:pos="9240"/>
        </w:tabs>
        <w:spacing w:line="400" w:lineRule="exact"/>
        <w:ind w:left="315" w:hangingChars="150" w:hanging="315"/>
        <w:jc w:val="center"/>
        <w:rPr>
          <w:rFonts w:ascii="方正小标宋简体" w:eastAsia="方正小标宋简体" w:hint="eastAsia"/>
          <w:sz w:val="28"/>
          <w:szCs w:val="28"/>
        </w:rPr>
      </w:pPr>
      <w:r w:rsidRPr="002B6A9E">
        <w:rPr>
          <w:rFonts w:eastAsia="方正书宋简体"/>
        </w:rPr>
        <w:br w:type="page"/>
      </w:r>
      <w:r>
        <w:rPr>
          <w:rFonts w:ascii="方正小标宋简体" w:eastAsia="方正小标宋简体" w:hint="eastAsia"/>
          <w:sz w:val="28"/>
          <w:szCs w:val="28"/>
        </w:rPr>
        <w:lastRenderedPageBreak/>
        <w:t>部门（单位）预算项目支出绩效目标申报表</w:t>
      </w:r>
    </w:p>
    <w:p w:rsidR="002E60D2" w:rsidRPr="002B6A9E" w:rsidRDefault="002E60D2" w:rsidP="002E60D2">
      <w:pPr>
        <w:tabs>
          <w:tab w:val="right" w:leader="dot" w:pos="9040"/>
          <w:tab w:val="right" w:leader="middleDot" w:pos="9240"/>
        </w:tabs>
        <w:spacing w:line="400" w:lineRule="exact"/>
        <w:ind w:left="315" w:hangingChars="150" w:hanging="315"/>
        <w:jc w:val="center"/>
        <w:rPr>
          <w:rFonts w:ascii="方正书宋简体" w:eastAsia="方正书宋简体" w:hAnsi="方正书宋简体" w:cs="方正书宋简体" w:hint="eastAsia"/>
        </w:rPr>
      </w:pPr>
      <w:r w:rsidRPr="002B6A9E">
        <w:rPr>
          <w:rFonts w:ascii="方正书宋简体" w:eastAsia="方正书宋简体" w:hAnsi="方正书宋简体" w:cs="方正书宋简体" w:hint="eastAsia"/>
        </w:rPr>
        <w:t>（2021年度）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70"/>
        <w:gridCol w:w="1178"/>
        <w:gridCol w:w="2366"/>
        <w:gridCol w:w="3097"/>
      </w:tblGrid>
      <w:tr w:rsidR="002E60D2" w:rsidTr="007149C1">
        <w:trPr>
          <w:trHeight w:val="23"/>
        </w:trPr>
        <w:tc>
          <w:tcPr>
            <w:tcW w:w="1794"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项目名称 </w:t>
            </w:r>
          </w:p>
        </w:tc>
        <w:tc>
          <w:tcPr>
            <w:tcW w:w="3205"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预算审查经费和监督网络运行维护费</w:t>
            </w:r>
          </w:p>
        </w:tc>
      </w:tr>
      <w:tr w:rsidR="002E60D2" w:rsidTr="007149C1">
        <w:trPr>
          <w:trHeight w:val="23"/>
        </w:trPr>
        <w:tc>
          <w:tcPr>
            <w:tcW w:w="1794" w:type="pct"/>
            <w:gridSpan w:val="3"/>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预算单位</w:t>
            </w:r>
          </w:p>
        </w:tc>
        <w:tc>
          <w:tcPr>
            <w:tcW w:w="3205" w:type="pct"/>
            <w:gridSpan w:val="2"/>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攀枝花市仁和区人民代表大会常务委员会</w:t>
            </w:r>
          </w:p>
        </w:tc>
      </w:tr>
      <w:tr w:rsidR="002E60D2" w:rsidTr="007149C1">
        <w:trPr>
          <w:trHeight w:val="23"/>
        </w:trPr>
        <w:tc>
          <w:tcPr>
            <w:tcW w:w="1794" w:type="pct"/>
            <w:gridSpan w:val="3"/>
            <w:vMerge w:val="restart"/>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项目资金(万元)</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年度资金总额：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10.00</w:t>
            </w:r>
          </w:p>
        </w:tc>
      </w:tr>
      <w:tr w:rsidR="002E60D2" w:rsidTr="007149C1">
        <w:trPr>
          <w:trHeight w:val="23"/>
        </w:trPr>
        <w:tc>
          <w:tcPr>
            <w:tcW w:w="1794"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其中：财政拨款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10.00</w:t>
            </w:r>
          </w:p>
        </w:tc>
      </w:tr>
      <w:tr w:rsidR="002E60D2" w:rsidTr="007149C1">
        <w:trPr>
          <w:trHeight w:val="23"/>
        </w:trPr>
        <w:tc>
          <w:tcPr>
            <w:tcW w:w="1794" w:type="pct"/>
            <w:gridSpan w:val="3"/>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其他资金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rPr>
          <w:trHeight w:val="23"/>
        </w:trPr>
        <w:tc>
          <w:tcPr>
            <w:tcW w:w="534"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总体目标 </w:t>
            </w:r>
          </w:p>
        </w:tc>
        <w:tc>
          <w:tcPr>
            <w:tcW w:w="4465" w:type="pct"/>
            <w:gridSpan w:val="4"/>
            <w:tcBorders>
              <w:tl2br w:val="nil"/>
              <w:tr2bl w:val="nil"/>
            </w:tcBorders>
            <w:noWrap/>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年度目标　</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4465" w:type="pct"/>
            <w:gridSpan w:val="4"/>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区人大预算委员会为了加强预算监督管理机制，1、按照〈预算监督法》的相关规定，区人大预算委员会要对本级财政使用情况加强监督，全市于2020年全面启动了预算联网监督工作，区人大建立了预算网络监督室，为了保障预算网络监督室的正常运转；2、切实建立专家评审方案，保障工作顺利推进，围绕全区国民经济计划和财政预算、决算执行情况，依法实施监督</w:t>
            </w:r>
          </w:p>
        </w:tc>
      </w:tr>
      <w:tr w:rsidR="002E60D2" w:rsidTr="007149C1">
        <w:trPr>
          <w:trHeight w:val="23"/>
        </w:trPr>
        <w:tc>
          <w:tcPr>
            <w:tcW w:w="534"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绩效指标 </w:t>
            </w:r>
          </w:p>
        </w:tc>
        <w:tc>
          <w:tcPr>
            <w:tcW w:w="56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一级指标 </w:t>
            </w: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二级指标 </w:t>
            </w:r>
          </w:p>
        </w:tc>
        <w:tc>
          <w:tcPr>
            <w:tcW w:w="1388"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三级指标 </w:t>
            </w:r>
          </w:p>
        </w:tc>
        <w:tc>
          <w:tcPr>
            <w:tcW w:w="1817"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指标值（包含数字及文字描述）</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项目完成</w:t>
            </w:r>
          </w:p>
        </w:tc>
        <w:tc>
          <w:tcPr>
            <w:tcW w:w="69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数量指标 </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审查经费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根据工作计划执行</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开展工作调研</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按照工作计划执行</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财政预算监督网络运行维护费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保障网络正常运转的办公费用</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质量指标 </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提高工作质量</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加强全区国民经济发展，强化财政预算、决算、审计工作的监督</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预算监督网络</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保障网运行正常</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时效指标 </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按照工作计划实施</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2021年1月至12月</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成本指标</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审查办公经费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全年预计5万元</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预算网络运行办公费</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预计5万元</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val="restar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项目效益</w:t>
            </w: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经济效益指标</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加强财政资金的管理</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依法监督财政资金使用情况</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社会效益指标</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履行人大监督职责</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广泛听取各方面意见，分析全区经济运行情况，依法审查财政预算、决算编制、执行情况</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生态效益指标</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可持续影响指标</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c>
          <w:tcPr>
            <w:tcW w:w="1817"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 </w:t>
            </w:r>
          </w:p>
        </w:tc>
      </w:tr>
      <w:tr w:rsidR="002E60D2" w:rsidRPr="002B6A9E" w:rsidTr="007149C1">
        <w:trPr>
          <w:trHeight w:val="23"/>
        </w:trPr>
        <w:tc>
          <w:tcPr>
            <w:tcW w:w="534" w:type="pct"/>
            <w:vMerge/>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p>
        </w:tc>
        <w:tc>
          <w:tcPr>
            <w:tcW w:w="569"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满意度指标 </w:t>
            </w:r>
          </w:p>
        </w:tc>
        <w:tc>
          <w:tcPr>
            <w:tcW w:w="690" w:type="pct"/>
            <w:tcBorders>
              <w:tl2br w:val="nil"/>
              <w:tr2bl w:val="nil"/>
            </w:tcBorders>
            <w:vAlign w:val="center"/>
          </w:tcPr>
          <w:p w:rsidR="002E60D2" w:rsidRDefault="002E60D2" w:rsidP="007149C1">
            <w:pPr>
              <w:widowControl/>
              <w:jc w:val="center"/>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 xml:space="preserve">服务对象满意度指标 </w:t>
            </w:r>
          </w:p>
        </w:tc>
        <w:tc>
          <w:tcPr>
            <w:tcW w:w="1388" w:type="pct"/>
            <w:tcBorders>
              <w:tl2br w:val="nil"/>
              <w:tr2bl w:val="nil"/>
            </w:tcBorders>
            <w:vAlign w:val="center"/>
          </w:tcPr>
          <w:p w:rsidR="002E60D2"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区人大代表满意度</w:t>
            </w:r>
          </w:p>
        </w:tc>
        <w:tc>
          <w:tcPr>
            <w:tcW w:w="1817" w:type="pct"/>
            <w:tcBorders>
              <w:tl2br w:val="nil"/>
              <w:tr2bl w:val="nil"/>
            </w:tcBorders>
            <w:vAlign w:val="center"/>
          </w:tcPr>
          <w:p w:rsidR="002E60D2" w:rsidRPr="002B6A9E" w:rsidRDefault="002E60D2" w:rsidP="007149C1">
            <w:pPr>
              <w:widowControl/>
              <w:jc w:val="left"/>
              <w:rPr>
                <w:rFonts w:ascii="方正书宋简体" w:eastAsia="方正书宋简体" w:hAnsi="宋体" w:cs="宋体" w:hint="eastAsia"/>
                <w:kern w:val="0"/>
                <w:sz w:val="16"/>
                <w:szCs w:val="16"/>
              </w:rPr>
            </w:pPr>
            <w:r w:rsidRPr="002B6A9E">
              <w:rPr>
                <w:rFonts w:ascii="方正书宋简体" w:eastAsia="方正书宋简体" w:hAnsi="宋体" w:cs="宋体" w:hint="eastAsia"/>
                <w:kern w:val="0"/>
                <w:sz w:val="16"/>
                <w:szCs w:val="16"/>
              </w:rPr>
              <w:t>抽查人大代表达满意度达95%以上</w:t>
            </w:r>
          </w:p>
        </w:tc>
      </w:tr>
    </w:tbl>
    <w:p w:rsidR="004358AB" w:rsidRDefault="002E60D2" w:rsidP="00323B43">
      <w:pPr>
        <w:rPr>
          <w:rFonts w:hint="eastAsia"/>
        </w:rPr>
      </w:pPr>
      <w:r w:rsidRPr="002B6A9E">
        <w:rPr>
          <w:rFonts w:eastAsia="方正书宋简体"/>
        </w:rPr>
        <w:br w:type="page"/>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书宋简体">
    <w:altName w:val="Arial Unicode MS"/>
    <w:charset w:val="86"/>
    <w:family w:val="script"/>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2E60D2"/>
    <w:rsid w:val="002E60D2"/>
    <w:rsid w:val="00305D38"/>
    <w:rsid w:val="00323B43"/>
    <w:rsid w:val="003D37D8"/>
    <w:rsid w:val="004358AB"/>
    <w:rsid w:val="005F20B3"/>
    <w:rsid w:val="008B77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0D2"/>
    <w:pPr>
      <w:widowControl w:val="0"/>
      <w:spacing w:after="0" w:line="240" w:lineRule="auto"/>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批注框文本 Char"/>
    <w:basedOn w:val="a0"/>
    <w:link w:val="a3"/>
    <w:semiHidden/>
    <w:locked/>
    <w:rsid w:val="002E60D2"/>
    <w:rPr>
      <w:rFonts w:cs="Times New Roman"/>
      <w:sz w:val="18"/>
      <w:szCs w:val="18"/>
    </w:rPr>
  </w:style>
  <w:style w:type="character" w:customStyle="1" w:styleId="font51">
    <w:name w:val="font51"/>
    <w:basedOn w:val="a0"/>
    <w:rsid w:val="002E60D2"/>
    <w:rPr>
      <w:rFonts w:ascii="宋体" w:eastAsia="宋体" w:hAnsi="宋体" w:cs="宋体" w:hint="eastAsia"/>
      <w:color w:val="auto"/>
      <w:sz w:val="18"/>
      <w:szCs w:val="18"/>
      <w:u w:val="none"/>
    </w:rPr>
  </w:style>
  <w:style w:type="character" w:customStyle="1" w:styleId="Char0">
    <w:name w:val="页脚 Char"/>
    <w:basedOn w:val="a0"/>
    <w:link w:val="a4"/>
    <w:semiHidden/>
    <w:locked/>
    <w:rsid w:val="002E60D2"/>
    <w:rPr>
      <w:rFonts w:cs="Times New Roman"/>
      <w:sz w:val="18"/>
      <w:szCs w:val="18"/>
    </w:rPr>
  </w:style>
  <w:style w:type="character" w:styleId="a5">
    <w:name w:val="page number"/>
    <w:basedOn w:val="a0"/>
    <w:rsid w:val="002E60D2"/>
  </w:style>
  <w:style w:type="character" w:customStyle="1" w:styleId="font11">
    <w:name w:val="font11"/>
    <w:basedOn w:val="a0"/>
    <w:qFormat/>
    <w:rsid w:val="002E60D2"/>
    <w:rPr>
      <w:rFonts w:ascii="宋体" w:eastAsia="宋体" w:hAnsi="宋体" w:cs="宋体" w:hint="eastAsia"/>
      <w:color w:val="000000"/>
      <w:sz w:val="18"/>
      <w:szCs w:val="18"/>
      <w:u w:val="none"/>
    </w:rPr>
  </w:style>
  <w:style w:type="character" w:customStyle="1" w:styleId="font61">
    <w:name w:val="font61"/>
    <w:basedOn w:val="a0"/>
    <w:qFormat/>
    <w:rsid w:val="002E60D2"/>
    <w:rPr>
      <w:rFonts w:ascii="仿宋_GB2312" w:eastAsia="仿宋_GB2312" w:cs="仿宋_GB2312"/>
      <w:color w:val="auto"/>
      <w:sz w:val="18"/>
      <w:szCs w:val="18"/>
      <w:u w:val="none"/>
    </w:rPr>
  </w:style>
  <w:style w:type="paragraph" w:styleId="a6">
    <w:name w:val="header"/>
    <w:basedOn w:val="a"/>
    <w:link w:val="Char1"/>
    <w:rsid w:val="002E60D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2E60D2"/>
    <w:rPr>
      <w:rFonts w:ascii="Times New Roman" w:eastAsia="宋体" w:hAnsi="Times New Roman" w:cs="Times New Roman"/>
      <w:kern w:val="2"/>
      <w:sz w:val="18"/>
      <w:szCs w:val="18"/>
    </w:rPr>
  </w:style>
  <w:style w:type="paragraph" w:styleId="a4">
    <w:name w:val="footer"/>
    <w:basedOn w:val="a"/>
    <w:link w:val="Char0"/>
    <w:semiHidden/>
    <w:rsid w:val="002E60D2"/>
    <w:pPr>
      <w:tabs>
        <w:tab w:val="center" w:pos="4153"/>
        <w:tab w:val="right" w:pos="8306"/>
      </w:tabs>
      <w:snapToGrid w:val="0"/>
      <w:jc w:val="left"/>
    </w:pPr>
    <w:rPr>
      <w:rFonts w:asciiTheme="minorHAnsi" w:eastAsia="微软雅黑" w:hAnsiTheme="minorHAnsi"/>
      <w:kern w:val="0"/>
      <w:sz w:val="18"/>
      <w:szCs w:val="18"/>
    </w:rPr>
  </w:style>
  <w:style w:type="character" w:customStyle="1" w:styleId="Char10">
    <w:name w:val="页脚 Char1"/>
    <w:basedOn w:val="a0"/>
    <w:link w:val="a4"/>
    <w:uiPriority w:val="99"/>
    <w:semiHidden/>
    <w:rsid w:val="002E60D2"/>
    <w:rPr>
      <w:rFonts w:ascii="Times New Roman" w:eastAsia="宋体" w:hAnsi="Times New Roman" w:cs="Times New Roman"/>
      <w:kern w:val="2"/>
      <w:sz w:val="18"/>
      <w:szCs w:val="18"/>
    </w:rPr>
  </w:style>
  <w:style w:type="paragraph" w:styleId="a3">
    <w:name w:val="Balloon Text"/>
    <w:basedOn w:val="a"/>
    <w:link w:val="Char"/>
    <w:semiHidden/>
    <w:rsid w:val="002E60D2"/>
    <w:rPr>
      <w:rFonts w:asciiTheme="minorHAnsi" w:eastAsia="微软雅黑" w:hAnsiTheme="minorHAnsi"/>
      <w:kern w:val="0"/>
      <w:sz w:val="18"/>
      <w:szCs w:val="18"/>
    </w:rPr>
  </w:style>
  <w:style w:type="character" w:customStyle="1" w:styleId="Char11">
    <w:name w:val="批注框文本 Char1"/>
    <w:basedOn w:val="a0"/>
    <w:link w:val="a3"/>
    <w:uiPriority w:val="99"/>
    <w:semiHidden/>
    <w:rsid w:val="002E60D2"/>
    <w:rPr>
      <w:rFonts w:ascii="Times New Roman" w:eastAsia="宋体" w:hAnsi="Times New Roman" w:cs="Times New Roman"/>
      <w:kern w:val="2"/>
      <w:sz w:val="18"/>
      <w:szCs w:val="18"/>
    </w:rPr>
  </w:style>
  <w:style w:type="paragraph" w:customStyle="1" w:styleId="a7">
    <w:name w:val="表格文字"/>
    <w:basedOn w:val="a"/>
    <w:rsid w:val="002E60D2"/>
    <w:pPr>
      <w:widowControl/>
      <w:jc w:val="left"/>
      <w:textAlignment w:val="center"/>
    </w:pPr>
    <w:rPr>
      <w:rFonts w:ascii="方正书宋简体" w:eastAsia="方正书宋简体" w:hAnsi="方正书宋简体" w:hint="eastAsia"/>
      <w:kern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981</Words>
  <Characters>5597</Characters>
  <Application>Microsoft Office Word</Application>
  <DocSecurity>0</DocSecurity>
  <Lines>46</Lines>
  <Paragraphs>13</Paragraphs>
  <ScaleCrop>false</ScaleCrop>
  <Company>Lenovo-User</Company>
  <LinksUpToDate>false</LinksUpToDate>
  <CharactersWithSpaces>6565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2021-03-23T00:16:00Z</dcterms:created>
  <dcterms:modified xsi:type="dcterms:W3CDTF">2021-03-23T00:17:00Z</dcterms:modified>
</cp:coreProperties>
</file>