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仿宋" w:hAnsi="仿宋" w:eastAsia="仿宋" w:cs="仿宋"/>
          <w:color w:val="000000"/>
          <w:sz w:val="72"/>
          <w:szCs w:val="72"/>
        </w:rPr>
      </w:pPr>
      <w:bookmarkStart w:id="1" w:name="_Toc15396597"/>
      <w:bookmarkStart w:id="2" w:name="_Toc15377425"/>
      <w:bookmarkStart w:id="3" w:name="_Toc15377193"/>
      <w:bookmarkStart w:id="4" w:name="_Toc15378441"/>
      <w:bookmarkStart w:id="5" w:name="_Toc15396475"/>
      <w:r>
        <w:rPr>
          <w:rFonts w:hint="eastAsia" w:ascii="仿宋" w:hAnsi="仿宋" w:eastAsia="仿宋" w:cs="仿宋"/>
          <w:color w:val="000000"/>
          <w:sz w:val="72"/>
          <w:szCs w:val="72"/>
        </w:rPr>
        <w:t>2019年度</w:t>
      </w:r>
      <w:bookmarkEnd w:id="1"/>
      <w:bookmarkEnd w:id="2"/>
      <w:bookmarkEnd w:id="3"/>
      <w:bookmarkEnd w:id="4"/>
      <w:bookmarkEnd w:id="5"/>
    </w:p>
    <w:p>
      <w:pPr>
        <w:adjustRightInd w:val="0"/>
        <w:snapToGrid w:val="0"/>
        <w:spacing w:line="360" w:lineRule="auto"/>
        <w:jc w:val="center"/>
        <w:outlineLvl w:val="0"/>
        <w:rPr>
          <w:rFonts w:ascii="仿宋" w:hAnsi="仿宋" w:eastAsia="仿宋" w:cs="仿宋"/>
          <w:color w:val="000000"/>
          <w:sz w:val="72"/>
          <w:szCs w:val="72"/>
        </w:rPr>
      </w:pPr>
      <w:bookmarkStart w:id="6" w:name="_Toc15378442"/>
      <w:bookmarkStart w:id="7" w:name="_Toc15377194"/>
      <w:bookmarkStart w:id="8" w:name="_Toc15396598"/>
      <w:bookmarkStart w:id="9" w:name="_Toc15377426"/>
      <w:bookmarkStart w:id="10" w:name="_Toc15396476"/>
      <w:r>
        <w:rPr>
          <w:rFonts w:hint="eastAsia" w:ascii="仿宋" w:hAnsi="仿宋" w:eastAsia="仿宋" w:cs="仿宋"/>
          <w:color w:val="000000"/>
          <w:sz w:val="72"/>
          <w:szCs w:val="72"/>
        </w:rPr>
        <w:t>四川</w:t>
      </w:r>
      <w:bookmarkStart w:id="11" w:name="_Toc15306268"/>
      <w:r>
        <w:rPr>
          <w:rFonts w:hint="eastAsia" w:ascii="仿宋" w:hAnsi="仿宋" w:eastAsia="仿宋" w:cs="仿宋"/>
          <w:color w:val="000000"/>
          <w:sz w:val="72"/>
          <w:szCs w:val="72"/>
        </w:rPr>
        <w:t>仁和思源实验          学校部门决算</w:t>
      </w:r>
      <w:bookmarkEnd w:id="6"/>
      <w:bookmarkEnd w:id="7"/>
      <w:bookmarkEnd w:id="8"/>
      <w:bookmarkEnd w:id="9"/>
      <w:bookmarkEnd w:id="10"/>
      <w:bookmarkEnd w:id="11"/>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公开时间：2020年10月13日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                                           4</w:t>
      </w:r>
    </w:p>
    <w:p>
      <w:pPr>
        <w:pStyle w:val="11"/>
        <w:adjustRightInd w:val="0"/>
        <w:snapToGrid w:val="0"/>
        <w:spacing w:line="440" w:lineRule="exact"/>
        <w:jc w:val="left"/>
        <w:rPr>
          <w:rFonts w:ascii="仿宋" w:hAnsi="仿宋"/>
          <w:sz w:val="24"/>
        </w:rPr>
      </w:pPr>
      <w:r>
        <w:rPr>
          <w:rFonts w:hint="eastAsia"/>
          <w:sz w:val="24"/>
        </w:rPr>
        <w:t>一、基本职能及主要工作.                                  4</w:t>
      </w:r>
    </w:p>
    <w:p>
      <w:pPr>
        <w:pStyle w:val="11"/>
        <w:adjustRightInd w:val="0"/>
        <w:snapToGrid w:val="0"/>
        <w:spacing w:line="440" w:lineRule="exact"/>
        <w:jc w:val="left"/>
        <w:rPr>
          <w:rFonts w:ascii="仿宋" w:hAnsi="仿宋" w:cstheme="minorBidi"/>
          <w:sz w:val="24"/>
        </w:rPr>
      </w:pPr>
      <w:r>
        <w:rPr>
          <w:rFonts w:hint="eastAsia"/>
          <w:sz w:val="24"/>
        </w:rPr>
        <w:t>二、机构设置                                             5</w:t>
      </w:r>
    </w:p>
    <w:p>
      <w:pPr>
        <w:pStyle w:val="10"/>
        <w:adjustRightInd w:val="0"/>
        <w:snapToGrid w:val="0"/>
        <w:spacing w:before="0" w:line="440" w:lineRule="exact"/>
        <w:jc w:val="left"/>
        <w:rPr>
          <w:sz w:val="24"/>
          <w:szCs w:val="24"/>
        </w:rPr>
      </w:pPr>
      <w:r>
        <w:rPr>
          <w:rFonts w:hint="eastAsia"/>
          <w:sz w:val="24"/>
        </w:rPr>
        <w:t>第二部分度部门决算情况说明                                  6</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cstheme="minorBidi"/>
          <w:sz w:val="24"/>
        </w:rPr>
      </w:pPr>
      <w:r>
        <w:rPr>
          <w:rFonts w:hint="eastAsia"/>
          <w:sz w:val="24"/>
        </w:rPr>
        <w:t>二、收入决算情况说明                                    6</w:t>
      </w:r>
    </w:p>
    <w:p>
      <w:pPr>
        <w:pStyle w:val="11"/>
        <w:adjustRightInd w:val="0"/>
        <w:snapToGrid w:val="0"/>
        <w:spacing w:line="440" w:lineRule="exact"/>
        <w:jc w:val="left"/>
        <w:rPr>
          <w:rFonts w:ascii="仿宋" w:hAnsi="仿宋" w:cstheme="minorBidi"/>
          <w:sz w:val="24"/>
        </w:rPr>
      </w:pPr>
      <w:r>
        <w:rPr>
          <w:rFonts w:hint="eastAsia"/>
          <w:sz w:val="24"/>
        </w:rPr>
        <w:t>三、支出决算情况说明                                    6</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                    6</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                6</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            7</w:t>
      </w:r>
    </w:p>
    <w:p>
      <w:pPr>
        <w:pStyle w:val="11"/>
        <w:adjustRightInd w:val="0"/>
        <w:snapToGrid w:val="0"/>
        <w:spacing w:line="440" w:lineRule="exact"/>
        <w:jc w:val="left"/>
        <w:rPr>
          <w:rFonts w:ascii="仿宋" w:hAnsi="仿宋" w:cstheme="minorBidi"/>
          <w:sz w:val="24"/>
        </w:rPr>
      </w:pPr>
      <w:r>
        <w:rPr>
          <w:rFonts w:hint="eastAsia"/>
          <w:sz w:val="24"/>
        </w:rPr>
        <w:t>七、</w:t>
      </w:r>
      <w:r>
        <w:rPr>
          <w:sz w:val="24"/>
        </w:rPr>
        <w:t>“</w:t>
      </w:r>
      <w:r>
        <w:rPr>
          <w:rFonts w:hint="eastAsia"/>
          <w:sz w:val="24"/>
        </w:rPr>
        <w:t>三公”经费财政拨款支出决算情况说明                 8</w:t>
      </w:r>
    </w:p>
    <w:p>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                      9</w:t>
      </w:r>
    </w:p>
    <w:p>
      <w:pPr>
        <w:pStyle w:val="11"/>
        <w:adjustRightInd w:val="0"/>
        <w:snapToGrid w:val="0"/>
        <w:spacing w:line="440" w:lineRule="exact"/>
        <w:ind w:leftChars="0"/>
        <w:jc w:val="left"/>
        <w:rPr>
          <w:rFonts w:ascii="仿宋" w:hAnsi="仿宋"/>
          <w:sz w:val="24"/>
        </w:rPr>
      </w:pPr>
      <w:r>
        <w:rPr>
          <w:rFonts w:hint="eastAsia" w:ascii="仿宋" w:hAnsi="仿宋" w:eastAsia="仿宋"/>
          <w:sz w:val="24"/>
        </w:rPr>
        <w:t>九、</w:t>
      </w:r>
      <w:r>
        <w:rPr>
          <w:sz w:val="24"/>
        </w:rPr>
        <w:t xml:space="preserve"> 国</w:t>
      </w:r>
      <w:r>
        <w:rPr>
          <w:rFonts w:hint="eastAsia"/>
          <w:sz w:val="24"/>
        </w:rPr>
        <w:t>有资本经营预算支出决算情况说明                   9</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r>
        <w:rPr>
          <w:rFonts w:hint="eastAsia" w:ascii="仿宋" w:hAnsi="仿宋" w:eastAsia="仿宋"/>
          <w:sz w:val="24"/>
        </w:rPr>
        <w:t xml:space="preserve">                            9</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                                          16</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                                              19</w:t>
      </w:r>
    </w:p>
    <w:p>
      <w:pPr>
        <w:pStyle w:val="11"/>
        <w:adjustRightInd w:val="0"/>
        <w:snapToGrid w:val="0"/>
        <w:spacing w:line="440" w:lineRule="exact"/>
        <w:jc w:val="left"/>
        <w:rPr>
          <w:rFonts w:ascii="仿宋" w:hAnsi="仿宋" w:cstheme="minorBidi"/>
          <w:sz w:val="24"/>
        </w:rPr>
      </w:pPr>
      <w:r>
        <w:rPr>
          <w:rFonts w:hint="eastAsia"/>
          <w:sz w:val="24"/>
        </w:rPr>
        <w:t>附件</w:t>
      </w:r>
      <w:r>
        <w:rPr>
          <w:sz w:val="24"/>
        </w:rPr>
        <w:t>1</w:t>
      </w:r>
      <w:r>
        <w:rPr>
          <w:rFonts w:hint="eastAsia"/>
          <w:sz w:val="24"/>
        </w:rPr>
        <w:t xml:space="preserve">                                                  19</w:t>
      </w:r>
    </w:p>
    <w:p>
      <w:pPr>
        <w:pStyle w:val="11"/>
        <w:adjustRightInd w:val="0"/>
        <w:snapToGrid w:val="0"/>
        <w:spacing w:line="440" w:lineRule="exact"/>
        <w:jc w:val="left"/>
        <w:rPr>
          <w:rFonts w:ascii="仿宋" w:hAnsi="仿宋" w:cstheme="minorBidi"/>
          <w:sz w:val="24"/>
        </w:rPr>
      </w:pPr>
      <w:r>
        <w:rPr>
          <w:rFonts w:hint="eastAsia"/>
          <w:sz w:val="24"/>
        </w:rPr>
        <w:t>附件</w:t>
      </w:r>
      <w:r>
        <w:rPr>
          <w:sz w:val="24"/>
        </w:rPr>
        <w:t>2</w:t>
      </w:r>
      <w:r>
        <w:rPr>
          <w:rFonts w:hint="eastAsia"/>
          <w:sz w:val="24"/>
        </w:rPr>
        <w:t xml:space="preserve">                                                  20</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                                              25</w:t>
      </w:r>
    </w:p>
    <w:p>
      <w:pPr>
        <w:pStyle w:val="11"/>
        <w:tabs>
          <w:tab w:val="left" w:pos="7225"/>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一、</w:t>
      </w:r>
      <w:r>
        <w:rPr>
          <w:rFonts w:hint="eastAsia"/>
          <w:sz w:val="24"/>
        </w:rPr>
        <w:t>收入支出决算总表                                    25</w:t>
      </w:r>
    </w:p>
    <w:p>
      <w:pPr>
        <w:pStyle w:val="11"/>
        <w:tabs>
          <w:tab w:val="left" w:pos="7096"/>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hint="eastAsia"/>
          <w:sz w:val="24"/>
        </w:rPr>
        <w:tab/>
      </w:r>
      <w:r>
        <w:rPr>
          <w:rFonts w:hint="eastAsia"/>
          <w:sz w:val="24"/>
        </w:rPr>
        <w:t>25</w:t>
      </w:r>
    </w:p>
    <w:p>
      <w:pPr>
        <w:pStyle w:val="11"/>
        <w:tabs>
          <w:tab w:val="left" w:pos="7153"/>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hint="eastAsia"/>
          <w:sz w:val="24"/>
        </w:rPr>
        <w:tab/>
      </w:r>
      <w:r>
        <w:rPr>
          <w:rFonts w:hint="eastAsia"/>
          <w:sz w:val="24"/>
        </w:rPr>
        <w:t>25</w:t>
      </w:r>
    </w:p>
    <w:p>
      <w:pPr>
        <w:pStyle w:val="11"/>
        <w:tabs>
          <w:tab w:val="left" w:pos="7239"/>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四、</w:t>
      </w:r>
      <w:r>
        <w:rPr>
          <w:rFonts w:hint="eastAsia"/>
          <w:sz w:val="24"/>
        </w:rPr>
        <w:t>财政拨款收入支出决算总表                            25</w:t>
      </w:r>
    </w:p>
    <w:p>
      <w:pPr>
        <w:pStyle w:val="11"/>
        <w:tabs>
          <w:tab w:val="left" w:pos="7482"/>
          <w:tab w:val="clear" w:pos="8296"/>
        </w:tabs>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r>
        <w:rPr>
          <w:rFonts w:hint="eastAsia" w:ascii="仿宋" w:hAnsi="仿宋" w:eastAsia="仿宋"/>
          <w:sz w:val="24"/>
        </w:rPr>
        <w:tab/>
      </w:r>
      <w:r>
        <w:rPr>
          <w:rFonts w:hint="eastAsia" w:ascii="仿宋" w:hAnsi="仿宋" w:eastAsia="仿宋"/>
          <w:sz w:val="24"/>
        </w:rPr>
        <w:t xml:space="preserve"> 25</w:t>
      </w:r>
    </w:p>
    <w:p>
      <w:pPr>
        <w:pStyle w:val="11"/>
        <w:tabs>
          <w:tab w:val="left" w:pos="7610"/>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六、</w:t>
      </w:r>
      <w:r>
        <w:rPr>
          <w:rFonts w:hint="eastAsia"/>
          <w:sz w:val="24"/>
        </w:rPr>
        <w:t>一般公共预算财政拨款支出决算表</w:t>
      </w:r>
      <w:r>
        <w:rPr>
          <w:rFonts w:hint="eastAsia"/>
          <w:sz w:val="24"/>
        </w:rPr>
        <w:tab/>
      </w:r>
      <w:r>
        <w:rPr>
          <w:rFonts w:hint="eastAsia"/>
          <w:sz w:val="24"/>
        </w:rPr>
        <w:t>25</w:t>
      </w:r>
    </w:p>
    <w:p>
      <w:pPr>
        <w:pStyle w:val="11"/>
        <w:tabs>
          <w:tab w:val="left" w:pos="7567"/>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七、</w:t>
      </w:r>
      <w:r>
        <w:rPr>
          <w:rFonts w:hint="eastAsia"/>
          <w:sz w:val="24"/>
        </w:rPr>
        <w:t>一般公共预算财政拨款支出决算明细表</w:t>
      </w:r>
      <w:r>
        <w:rPr>
          <w:rFonts w:hint="eastAsia"/>
          <w:sz w:val="24"/>
        </w:rPr>
        <w:tab/>
      </w:r>
      <w:r>
        <w:rPr>
          <w:rFonts w:hint="eastAsia"/>
          <w:sz w:val="24"/>
        </w:rPr>
        <w:t>25</w:t>
      </w:r>
    </w:p>
    <w:p>
      <w:pPr>
        <w:pStyle w:val="11"/>
        <w:tabs>
          <w:tab w:val="left" w:pos="7653"/>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八、</w:t>
      </w:r>
      <w:r>
        <w:rPr>
          <w:rFonts w:hint="eastAsia"/>
          <w:sz w:val="24"/>
        </w:rPr>
        <w:t>一般公共预算财政拨款基本支出决算表</w:t>
      </w:r>
      <w:r>
        <w:rPr>
          <w:rFonts w:hint="eastAsia"/>
          <w:sz w:val="24"/>
        </w:rPr>
        <w:tab/>
      </w:r>
      <w:r>
        <w:rPr>
          <w:rFonts w:hint="eastAsia"/>
          <w:sz w:val="24"/>
        </w:rPr>
        <w:t>25</w:t>
      </w:r>
    </w:p>
    <w:p>
      <w:pPr>
        <w:pStyle w:val="11"/>
        <w:tabs>
          <w:tab w:val="left" w:pos="7610"/>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九、</w:t>
      </w:r>
      <w:r>
        <w:rPr>
          <w:rFonts w:hint="eastAsia"/>
          <w:sz w:val="24"/>
        </w:rPr>
        <w:t>一般公共预算财政拨款项目支出决算表</w:t>
      </w:r>
      <w:r>
        <w:rPr>
          <w:rFonts w:hint="eastAsia"/>
          <w:sz w:val="24"/>
        </w:rPr>
        <w:tab/>
      </w:r>
      <w:r>
        <w:rPr>
          <w:rFonts w:hint="eastAsia"/>
          <w:sz w:val="24"/>
        </w:rPr>
        <w:t>25</w:t>
      </w:r>
    </w:p>
    <w:p>
      <w:pPr>
        <w:pStyle w:val="11"/>
        <w:tabs>
          <w:tab w:val="left" w:pos="7596"/>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十、</w:t>
      </w:r>
      <w:r>
        <w:rPr>
          <w:rFonts w:hint="eastAsia"/>
          <w:sz w:val="24"/>
        </w:rPr>
        <w:t>一般公共预算财政拨款“三公”经费支出决算表</w:t>
      </w:r>
      <w:r>
        <w:rPr>
          <w:rFonts w:hint="eastAsia"/>
          <w:sz w:val="24"/>
        </w:rPr>
        <w:tab/>
      </w:r>
      <w:r>
        <w:rPr>
          <w:rFonts w:hint="eastAsia"/>
          <w:sz w:val="24"/>
        </w:rPr>
        <w:t>25</w:t>
      </w:r>
    </w:p>
    <w:p>
      <w:pPr>
        <w:pStyle w:val="11"/>
        <w:tabs>
          <w:tab w:val="left" w:pos="7582"/>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十一、</w:t>
      </w:r>
      <w:r>
        <w:rPr>
          <w:rFonts w:hint="eastAsia"/>
          <w:sz w:val="24"/>
        </w:rPr>
        <w:t>政府性基金预算财政拨款收入支出决算表</w:t>
      </w:r>
      <w:r>
        <w:rPr>
          <w:rFonts w:hint="eastAsia"/>
          <w:sz w:val="24"/>
        </w:rPr>
        <w:tab/>
      </w:r>
      <w:r>
        <w:rPr>
          <w:rFonts w:hint="eastAsia"/>
          <w:sz w:val="24"/>
        </w:rPr>
        <w:t>25</w:t>
      </w:r>
    </w:p>
    <w:p>
      <w:pPr>
        <w:pStyle w:val="11"/>
        <w:tabs>
          <w:tab w:val="left" w:pos="7639"/>
          <w:tab w:val="clear" w:pos="8296"/>
        </w:tabs>
        <w:adjustRightInd w:val="0"/>
        <w:snapToGrid w:val="0"/>
        <w:spacing w:line="440" w:lineRule="exact"/>
        <w:jc w:val="left"/>
        <w:rPr>
          <w:rFonts w:ascii="仿宋" w:hAnsi="仿宋" w:cstheme="minorBidi"/>
          <w:sz w:val="24"/>
        </w:rPr>
      </w:pPr>
      <w:r>
        <w:rPr>
          <w:rFonts w:hint="eastAsia" w:ascii="仿宋" w:hAnsi="仿宋" w:eastAsia="仿宋"/>
          <w:sz w:val="24"/>
        </w:rPr>
        <w:t>十二、</w:t>
      </w:r>
      <w:r>
        <w:rPr>
          <w:rFonts w:hint="eastAsia"/>
          <w:sz w:val="24"/>
        </w:rPr>
        <w:t>政府性基金预算财政拨款“三公”经费支出决算表</w:t>
      </w:r>
      <w:r>
        <w:rPr>
          <w:rFonts w:hint="eastAsia"/>
          <w:sz w:val="24"/>
        </w:rPr>
        <w:tab/>
      </w:r>
      <w:r>
        <w:rPr>
          <w:rFonts w:hint="eastAsia"/>
          <w:sz w:val="24"/>
        </w:rPr>
        <w:t>25</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580" w:lineRule="exact"/>
        <w:ind w:firstLine="630" w:firstLineChars="210"/>
        <w:rPr>
          <w:rFonts w:ascii="仿宋" w:hAnsi="仿宋" w:eastAsia="仿宋" w:cs="仿宋"/>
          <w:szCs w:val="30"/>
        </w:rPr>
      </w:pPr>
      <w:bookmarkStart w:id="16" w:name="_Toc15378445"/>
      <w:bookmarkStart w:id="17" w:name="_Toc15377198"/>
      <w:r>
        <w:rPr>
          <w:rFonts w:hint="eastAsia" w:ascii="仿宋" w:hAnsi="仿宋" w:eastAsia="仿宋" w:cs="仿宋"/>
          <w:bCs/>
          <w:color w:val="000000"/>
          <w:szCs w:val="30"/>
        </w:rPr>
        <w:t>（一）主要职能。</w:t>
      </w:r>
      <w:bookmarkEnd w:id="16"/>
      <w:bookmarkEnd w:id="17"/>
      <w:bookmarkStart w:id="18" w:name="_Toc15377199"/>
      <w:bookmarkStart w:id="19" w:name="_Toc15378446"/>
    </w:p>
    <w:p>
      <w:pPr>
        <w:ind w:firstLine="600" w:firstLineChars="200"/>
        <w:rPr>
          <w:rFonts w:ascii="仿宋" w:hAnsi="仿宋" w:eastAsia="仿宋" w:cs="仿宋"/>
          <w:sz w:val="30"/>
          <w:szCs w:val="30"/>
        </w:rPr>
      </w:pPr>
      <w:r>
        <w:rPr>
          <w:rFonts w:hint="eastAsia" w:ascii="仿宋" w:hAnsi="仿宋" w:eastAsia="仿宋" w:cs="仿宋"/>
          <w:sz w:val="30"/>
          <w:szCs w:val="30"/>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中小学阶段学历教育及相关社会服务。</w:t>
      </w:r>
    </w:p>
    <w:p>
      <w:pPr>
        <w:pStyle w:val="5"/>
        <w:adjustRightInd w:val="0"/>
        <w:snapToGrid w:val="0"/>
        <w:spacing w:before="93" w:line="600" w:lineRule="exact"/>
        <w:ind w:firstLine="630" w:firstLineChars="210"/>
        <w:outlineLvl w:val="2"/>
        <w:rPr>
          <w:rFonts w:ascii="仿宋" w:hAnsi="仿宋" w:eastAsia="仿宋" w:cs="仿宋"/>
          <w:bCs/>
          <w:color w:val="000000"/>
          <w:szCs w:val="30"/>
        </w:rPr>
      </w:pPr>
      <w:r>
        <w:rPr>
          <w:rFonts w:hint="eastAsia" w:ascii="仿宋" w:hAnsi="仿宋" w:eastAsia="仿宋" w:cs="仿宋"/>
          <w:bCs/>
          <w:color w:val="000000"/>
          <w:szCs w:val="30"/>
        </w:rPr>
        <w:t>（二）2019年重点工作完成情况。</w:t>
      </w:r>
      <w:bookmarkEnd w:id="18"/>
      <w:bookmarkEnd w:id="19"/>
    </w:p>
    <w:p>
      <w:pPr>
        <w:ind w:firstLine="600" w:firstLineChars="200"/>
        <w:rPr>
          <w:rFonts w:ascii="仿宋" w:hAnsi="仿宋" w:eastAsia="仿宋" w:cs="仿宋"/>
          <w:sz w:val="30"/>
          <w:szCs w:val="30"/>
        </w:rPr>
      </w:pPr>
      <w:r>
        <w:rPr>
          <w:rFonts w:hint="eastAsia" w:ascii="仿宋" w:hAnsi="仿宋" w:eastAsia="仿宋" w:cs="仿宋"/>
          <w:sz w:val="30"/>
          <w:szCs w:val="30"/>
        </w:rPr>
        <w:t>1.规范教师培训制度，组织教职工开展师德培训，加强继续教育工作，根据校本培训方案认真实施校本培训工作，努力提升教师整体素质。通过培养，着力打造一批教坛新秀、骨干教师，促进全校师资队伍全面、协调、可持续发展。</w:t>
      </w:r>
    </w:p>
    <w:p>
      <w:pPr>
        <w:ind w:firstLine="600" w:firstLineChars="200"/>
        <w:rPr>
          <w:rFonts w:ascii="仿宋" w:hAnsi="仿宋" w:eastAsia="仿宋" w:cs="仿宋"/>
          <w:sz w:val="30"/>
          <w:szCs w:val="30"/>
        </w:rPr>
      </w:pPr>
      <w:r>
        <w:rPr>
          <w:rFonts w:hint="eastAsia" w:ascii="仿宋" w:hAnsi="仿宋" w:eastAsia="仿宋" w:cs="仿宋"/>
          <w:sz w:val="30"/>
          <w:szCs w:val="30"/>
        </w:rPr>
        <w:t>2.坚持以德育为首，培养素质人才 加强德育队伍建设，不断提高德育队伍的整体素质，完善德育工作管理机制，坚持把德育工作放在首位，全面提高学生的思想素质。坚持每天进行学生良好行为的习惯教育，同时深入开展了文明礼仪教育、法制教育、安全教育、心理健康教育等，确保了学校平安、文明、和谐发展。</w:t>
      </w:r>
    </w:p>
    <w:p>
      <w:pPr>
        <w:ind w:firstLine="822" w:firstLineChars="274"/>
        <w:rPr>
          <w:rFonts w:ascii="仿宋" w:hAnsi="仿宋" w:eastAsia="仿宋" w:cs="仿宋"/>
          <w:sz w:val="30"/>
          <w:szCs w:val="30"/>
        </w:rPr>
      </w:pPr>
      <w:r>
        <w:rPr>
          <w:rFonts w:hint="eastAsia" w:ascii="仿宋" w:hAnsi="仿宋" w:eastAsia="仿宋" w:cs="仿宋"/>
          <w:sz w:val="30"/>
          <w:szCs w:val="30"/>
        </w:rPr>
        <w:t xml:space="preserve">3.规范教学管理，提升办学水平 科组认真抓好本科组的教学改革，重点探索符合本科组的高效课堂教学模式，努力提高教学效率和质量，有效开展听课、说课与评课活动，加强集体备课，增强校本教研实效。积极倡导小组课题深研究，组细教师对教育教学和管理中的难占和执点问颗开展研究.提倡行动研究。注重研究的可操作性与实效性。切实开展阳光体育，重视学生艺术素质培养，发展学生综合素质，                   </w:t>
      </w:r>
    </w:p>
    <w:p>
      <w:pPr>
        <w:ind w:firstLine="300" w:firstLineChars="100"/>
        <w:rPr>
          <w:rFonts w:ascii="仿宋" w:hAnsi="仿宋" w:eastAsia="仿宋" w:cs="仿宋"/>
          <w:sz w:val="30"/>
          <w:szCs w:val="30"/>
        </w:rPr>
      </w:pPr>
      <w:r>
        <w:rPr>
          <w:rFonts w:hint="eastAsia" w:ascii="仿宋" w:hAnsi="仿宋" w:eastAsia="仿宋" w:cs="仿宋"/>
          <w:sz w:val="30"/>
          <w:szCs w:val="30"/>
        </w:rPr>
        <w:t xml:space="preserve">  4.强化后勤服务，为学校的教育教学工作保驾护航 加强校产管理，规范校产的购入、登记、出借、报损、核查和入帐手续，做到帐物相符、帐帐相符。规范财务管理，严格执行有关收费规定，及时公示收费项目和标准。提高资金使用效益，改善办学条件，不断提高教师待遇。做好教学设备维护和设施更新工作，使之在教育教学中发挥重要的作用。安装了校园监控，确保学校财产和师生人身安全。 </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00" w:firstLineChars="200"/>
        <w:outlineLvl w:val="2"/>
        <w:rPr>
          <w:rFonts w:ascii="仿宋" w:hAnsi="仿宋" w:eastAsia="仿宋" w:cs="仿宋"/>
          <w:color w:val="000000"/>
          <w:szCs w:val="30"/>
        </w:rPr>
      </w:pPr>
      <w:r>
        <w:rPr>
          <w:rFonts w:hint="eastAsia" w:ascii="仿宋" w:hAnsi="仿宋" w:eastAsia="仿宋" w:cs="仿宋"/>
          <w:szCs w:val="30"/>
        </w:rPr>
        <w:t>1.四川仁和思源实验学校属于独立核算的一类事业单位，由财政全额拨款的事业单位。2019年无变动情况。</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2.人员情况，包括当年变动情况及原因。</w:t>
      </w:r>
    </w:p>
    <w:p>
      <w:pPr>
        <w:ind w:firstLine="600" w:firstLineChars="200"/>
        <w:rPr>
          <w:rFonts w:ascii="仿宋" w:hAnsi="仿宋" w:eastAsia="仿宋" w:cs="仿宋"/>
          <w:sz w:val="30"/>
          <w:szCs w:val="30"/>
        </w:rPr>
      </w:pPr>
      <w:r>
        <w:rPr>
          <w:rFonts w:hint="eastAsia" w:ascii="仿宋" w:hAnsi="仿宋" w:eastAsia="仿宋" w:cs="仿宋"/>
          <w:sz w:val="30"/>
          <w:szCs w:val="30"/>
        </w:rPr>
        <w:t>我校现有财政补助开支人数97人，其中：在职教职工97人。与上年相比增加53人。主要原因是：2019年调出31人，调进77人，新分配人员3人，调入4人</w:t>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00" w:firstLineChars="200"/>
        <w:rPr>
          <w:rFonts w:ascii="仿宋_GB2312" w:eastAsia="仿宋_GB2312"/>
          <w:color w:val="000000"/>
          <w:sz w:val="32"/>
          <w:szCs w:val="32"/>
        </w:rPr>
      </w:pPr>
      <w:r>
        <w:rPr>
          <w:rFonts w:hint="eastAsia" w:ascii="仿宋" w:hAnsi="仿宋" w:eastAsia="仿宋" w:cs="仿宋"/>
          <w:color w:val="000000"/>
          <w:sz w:val="30"/>
          <w:szCs w:val="30"/>
        </w:rPr>
        <w:t>2019年度收、支总计1615.03万元。与2018年相比，收、支总计各增加636.25万元，增长65%。主要变动原因是人员及人员经费增加</w:t>
      </w:r>
      <w:r>
        <w:rPr>
          <w:rFonts w:hint="eastAsia" w:asciiTheme="minorEastAsia" w:hAnsiTheme="minorEastAsia" w:eastAsiaTheme="minorEastAsia"/>
          <w:color w:val="000000"/>
          <w:sz w:val="28"/>
          <w:szCs w:val="28"/>
        </w:rPr>
        <w:t>。</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00" w:firstLineChars="200"/>
        <w:outlineLvl w:val="1"/>
        <w:rPr>
          <w:rFonts w:ascii="仿宋" w:hAnsi="仿宋" w:eastAsia="仿宋" w:cs="仿宋"/>
          <w:color w:val="FF0000"/>
          <w:sz w:val="30"/>
          <w:szCs w:val="30"/>
        </w:rPr>
      </w:pPr>
      <w:r>
        <w:rPr>
          <w:rFonts w:hint="eastAsia" w:ascii="仿宋" w:hAnsi="仿宋" w:eastAsia="仿宋" w:cs="仿宋"/>
          <w:color w:val="000000"/>
          <w:sz w:val="30"/>
          <w:szCs w:val="30"/>
        </w:rPr>
        <w:t>2019年本年收入合计1546.24万元，其中：一般公共预算财政拨款收入1546.24万元，占100% 。（年初结转和结余68.79万元）</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00" w:firstLineChars="200"/>
        <w:outlineLvl w:val="1"/>
        <w:rPr>
          <w:rFonts w:ascii="仿宋" w:hAnsi="仿宋" w:eastAsia="仿宋" w:cs="仿宋"/>
          <w:color w:val="000000"/>
          <w:sz w:val="30"/>
          <w:szCs w:val="30"/>
        </w:rPr>
      </w:pPr>
      <w:r>
        <w:rPr>
          <w:rFonts w:hint="eastAsia" w:ascii="仿宋" w:hAnsi="仿宋" w:eastAsia="仿宋" w:cs="仿宋"/>
          <w:color w:val="000000"/>
          <w:sz w:val="30"/>
          <w:szCs w:val="30"/>
        </w:rPr>
        <w:t>2019年本年支出合计1538.67万元，其中：基本支出852.36万元，占55.40%；项目支出686.31万元，占44.60%。</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2019年财政拨款收、支总计1615.03万元。与2018年相比，财政拨款收、支总计各增加636.25万元，增长65%。主要变动原因是人员及人员经费增加。</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sz w:val="30"/>
          <w:szCs w:val="30"/>
        </w:rPr>
        <w:t>2019年一般公共预算财政拨款支出1538.67万元，占本年支出合计的99.51%。与2018年相比，一般公共预算财政拨款增加658.67万元，增长74.85%。主要变动原因是人员及人员经费增加。</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00" w:firstLineChars="200"/>
        <w:outlineLvl w:val="2"/>
        <w:rPr>
          <w:rFonts w:ascii="仿宋" w:hAnsi="仿宋" w:eastAsia="仿宋" w:cs="仿宋"/>
          <w:color w:val="000000" w:themeColor="text1"/>
          <w:sz w:val="30"/>
          <w:szCs w:val="30"/>
        </w:rPr>
      </w:pPr>
      <w:r>
        <w:rPr>
          <w:rFonts w:hint="eastAsia" w:ascii="仿宋" w:hAnsi="仿宋" w:eastAsia="仿宋" w:cs="仿宋"/>
          <w:color w:val="000000"/>
          <w:sz w:val="30"/>
          <w:szCs w:val="30"/>
        </w:rPr>
        <w:t>2019年一般公共预算财</w:t>
      </w:r>
      <w:r>
        <w:rPr>
          <w:rFonts w:hint="eastAsia" w:ascii="仿宋" w:hAnsi="仿宋" w:eastAsia="仿宋" w:cs="仿宋"/>
          <w:color w:val="000000" w:themeColor="text1"/>
          <w:sz w:val="30"/>
          <w:szCs w:val="30"/>
        </w:rPr>
        <w:t>政拨款支出1538.67万元，主要用于以下方面:</w:t>
      </w:r>
      <w:r>
        <w:rPr>
          <w:rFonts w:hint="eastAsia" w:ascii="仿宋" w:hAnsi="仿宋" w:eastAsia="仿宋" w:cs="仿宋"/>
          <w:b/>
          <w:color w:val="000000" w:themeColor="text1"/>
          <w:sz w:val="30"/>
          <w:szCs w:val="30"/>
        </w:rPr>
        <w:t>一般公共服务（类）</w:t>
      </w:r>
      <w:r>
        <w:rPr>
          <w:rFonts w:hint="eastAsia" w:ascii="仿宋" w:hAnsi="仿宋" w:eastAsia="仿宋" w:cs="仿宋"/>
          <w:color w:val="000000" w:themeColor="text1"/>
          <w:sz w:val="30"/>
          <w:szCs w:val="30"/>
        </w:rPr>
        <w:t>支出8.00万元，占0.52%；</w:t>
      </w:r>
      <w:r>
        <w:rPr>
          <w:rFonts w:hint="eastAsia" w:ascii="仿宋" w:hAnsi="仿宋" w:eastAsia="仿宋" w:cs="仿宋"/>
          <w:b/>
          <w:color w:val="000000" w:themeColor="text1"/>
          <w:sz w:val="30"/>
          <w:szCs w:val="30"/>
        </w:rPr>
        <w:t>教育支出（类）</w:t>
      </w:r>
      <w:r>
        <w:rPr>
          <w:rFonts w:hint="eastAsia" w:ascii="仿宋" w:hAnsi="仿宋" w:eastAsia="仿宋" w:cs="仿宋"/>
          <w:color w:val="000000" w:themeColor="text1"/>
          <w:sz w:val="30"/>
          <w:szCs w:val="30"/>
        </w:rPr>
        <w:t>1299.63万元，占84.46%；</w:t>
      </w:r>
      <w:r>
        <w:rPr>
          <w:rFonts w:hint="eastAsia" w:ascii="仿宋" w:hAnsi="仿宋" w:eastAsia="仿宋" w:cs="仿宋"/>
          <w:b/>
          <w:color w:val="000000" w:themeColor="text1"/>
          <w:sz w:val="30"/>
          <w:szCs w:val="30"/>
        </w:rPr>
        <w:t>社会保障和就业（类）</w:t>
      </w:r>
      <w:r>
        <w:rPr>
          <w:rFonts w:hint="eastAsia" w:ascii="仿宋" w:hAnsi="仿宋" w:eastAsia="仿宋" w:cs="仿宋"/>
          <w:color w:val="000000" w:themeColor="text1"/>
          <w:sz w:val="30"/>
          <w:szCs w:val="30"/>
        </w:rPr>
        <w:t>支出91.88万元，占5.97%；</w:t>
      </w:r>
      <w:r>
        <w:rPr>
          <w:rFonts w:hint="eastAsia" w:ascii="仿宋" w:hAnsi="仿宋" w:eastAsia="仿宋" w:cs="仿宋"/>
          <w:b/>
          <w:bCs/>
          <w:color w:val="000000" w:themeColor="text1"/>
          <w:sz w:val="30"/>
          <w:szCs w:val="30"/>
        </w:rPr>
        <w:t>卫生健康支出</w:t>
      </w:r>
      <w:r>
        <w:rPr>
          <w:rFonts w:hint="eastAsia" w:ascii="仿宋" w:hAnsi="仿宋" w:eastAsia="仿宋" w:cs="仿宋"/>
          <w:color w:val="000000" w:themeColor="text1"/>
          <w:sz w:val="30"/>
          <w:szCs w:val="30"/>
        </w:rPr>
        <w:t>47.03万元，占3.06%；住房保障支出92.13万元，占5.99%。</w:t>
      </w:r>
      <w:bookmarkStart w:id="36"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2019年般公共预算支出决算数为</w:t>
      </w:r>
      <w:r>
        <w:rPr>
          <w:rFonts w:hint="eastAsia" w:ascii="仿宋" w:hAnsi="仿宋" w:eastAsia="仿宋"/>
          <w:color w:val="000000" w:themeColor="text1"/>
          <w:sz w:val="32"/>
          <w:szCs w:val="32"/>
        </w:rPr>
        <w:t>1538.67，</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360" w:lineRule="auto"/>
        <w:ind w:firstLine="562" w:firstLineChars="200"/>
        <w:rPr>
          <w:rStyle w:val="14"/>
          <w:rFonts w:asciiTheme="minorEastAsia" w:hAnsiTheme="minorEastAsia" w:eastAsiaTheme="minorEastAsia"/>
          <w:bCs/>
          <w:sz w:val="28"/>
          <w:szCs w:val="28"/>
        </w:rPr>
      </w:pPr>
      <w:r>
        <w:rPr>
          <w:rStyle w:val="14"/>
          <w:rFonts w:hint="eastAsia" w:asciiTheme="minorEastAsia" w:hAnsiTheme="minorEastAsia" w:eastAsiaTheme="minorEastAsia"/>
          <w:bCs/>
          <w:color w:val="000000"/>
          <w:sz w:val="28"/>
          <w:szCs w:val="28"/>
        </w:rPr>
        <w:t>1</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Cs/>
          <w:color w:val="000000"/>
          <w:sz w:val="28"/>
          <w:szCs w:val="28"/>
        </w:rPr>
        <w:t xml:space="preserve"> </w:t>
      </w:r>
      <w:r>
        <w:rPr>
          <w:rStyle w:val="14"/>
          <w:rFonts w:hint="eastAsia" w:asciiTheme="minorEastAsia" w:hAnsiTheme="minorEastAsia" w:eastAsiaTheme="minorEastAsia"/>
          <w:bCs/>
          <w:sz w:val="28"/>
          <w:szCs w:val="28"/>
        </w:rPr>
        <w:t>一般公共服务</w:t>
      </w:r>
      <w:r>
        <w:rPr>
          <w:rStyle w:val="14"/>
          <w:rFonts w:asciiTheme="minorEastAsia" w:hAnsiTheme="minorEastAsia" w:eastAsiaTheme="minorEastAsia"/>
          <w:bCs/>
          <w:sz w:val="28"/>
          <w:szCs w:val="28"/>
        </w:rPr>
        <w:t>2012304</w:t>
      </w:r>
      <w:r>
        <w:rPr>
          <w:rStyle w:val="14"/>
          <w:rFonts w:hint="eastAsia" w:asciiTheme="minorEastAsia" w:hAnsiTheme="minorEastAsia" w:eastAsiaTheme="minorEastAsia"/>
          <w:bCs/>
          <w:sz w:val="28"/>
          <w:szCs w:val="28"/>
        </w:rPr>
        <w:t>：</w:t>
      </w:r>
      <w:r>
        <w:rPr>
          <w:rStyle w:val="14"/>
          <w:rFonts w:hint="eastAsia" w:ascii="仿宋" w:hAnsi="仿宋" w:eastAsia="仿宋"/>
          <w:b w:val="0"/>
          <w:bCs/>
          <w:sz w:val="28"/>
          <w:szCs w:val="28"/>
        </w:rPr>
        <w:t>支出决算为8.00万元，完成预算0.52</w:t>
      </w:r>
      <w:r>
        <w:rPr>
          <w:rStyle w:val="14"/>
          <w:rFonts w:ascii="仿宋" w:hAnsi="仿宋" w:eastAsia="仿宋"/>
          <w:b w:val="0"/>
          <w:bCs/>
          <w:sz w:val="28"/>
          <w:szCs w:val="28"/>
        </w:rPr>
        <w:t>%</w:t>
      </w:r>
      <w:r>
        <w:rPr>
          <w:rStyle w:val="14"/>
          <w:rFonts w:hint="eastAsia" w:ascii="仿宋" w:hAnsi="仿宋" w:eastAsia="仿宋"/>
          <w:b w:val="0"/>
          <w:bCs/>
          <w:sz w:val="28"/>
          <w:szCs w:val="28"/>
        </w:rPr>
        <w:t>，</w:t>
      </w:r>
      <w:r>
        <w:rPr>
          <w:rFonts w:hint="eastAsia" w:ascii="仿宋" w:hAnsi="仿宋" w:eastAsia="仿宋" w:cs="仿宋"/>
          <w:sz w:val="30"/>
          <w:szCs w:val="30"/>
        </w:rPr>
        <w:t>决算数大于预算数的主要原因是政府加大对少数民族学生投入。</w:t>
      </w:r>
    </w:p>
    <w:p>
      <w:pPr>
        <w:spacing w:line="360" w:lineRule="auto"/>
        <w:ind w:firstLine="562" w:firstLineChars="200"/>
        <w:rPr>
          <w:rFonts w:cs="仿宋_GB2312" w:asciiTheme="minorEastAsia" w:hAnsiTheme="minorEastAsia" w:eastAsiaTheme="minorEastAsia"/>
          <w:sz w:val="28"/>
          <w:szCs w:val="28"/>
        </w:rPr>
      </w:pPr>
      <w:r>
        <w:rPr>
          <w:rStyle w:val="14"/>
          <w:rFonts w:hint="eastAsia" w:asciiTheme="minorEastAsia" w:hAnsiTheme="minorEastAsia" w:eastAsiaTheme="minorEastAsia"/>
          <w:bCs/>
          <w:sz w:val="28"/>
          <w:szCs w:val="28"/>
        </w:rPr>
        <w:t>2.教育</w:t>
      </w:r>
      <w:r>
        <w:rPr>
          <w:rStyle w:val="14"/>
          <w:rFonts w:hint="eastAsia" w:cs="宋体" w:asciiTheme="minorEastAsia" w:hAnsiTheme="minorEastAsia" w:eastAsiaTheme="minorEastAsia"/>
          <w:sz w:val="28"/>
          <w:szCs w:val="28"/>
        </w:rPr>
        <w:t>2050202、2050203、</w:t>
      </w:r>
      <w:r>
        <w:rPr>
          <w:rStyle w:val="14"/>
          <w:rFonts w:cs="宋体" w:asciiTheme="minorEastAsia" w:hAnsiTheme="minorEastAsia" w:eastAsiaTheme="minorEastAsia"/>
          <w:sz w:val="28"/>
          <w:szCs w:val="28"/>
        </w:rPr>
        <w:t>2050999</w:t>
      </w:r>
      <w:r>
        <w:rPr>
          <w:rStyle w:val="14"/>
          <w:rFonts w:hint="eastAsia" w:cs="宋体" w:asciiTheme="minorEastAsia" w:hAnsiTheme="minorEastAsia" w:eastAsiaTheme="minorEastAsia"/>
          <w:sz w:val="28"/>
          <w:szCs w:val="28"/>
        </w:rPr>
        <w:t>:</w:t>
      </w:r>
      <w:r>
        <w:rPr>
          <w:rStyle w:val="14"/>
          <w:rFonts w:hint="eastAsia" w:ascii="仿宋" w:hAnsi="仿宋" w:eastAsia="仿宋" w:cs="仿宋"/>
          <w:b w:val="0"/>
          <w:bCs/>
          <w:sz w:val="30"/>
          <w:szCs w:val="30"/>
        </w:rPr>
        <w:t>支出决算为</w:t>
      </w:r>
      <w:r>
        <w:rPr>
          <w:rFonts w:hint="eastAsia" w:ascii="仿宋" w:hAnsi="仿宋" w:eastAsia="仿宋" w:cs="仿宋"/>
          <w:sz w:val="30"/>
          <w:szCs w:val="30"/>
        </w:rPr>
        <w:t>1299.63</w:t>
      </w:r>
      <w:r>
        <w:rPr>
          <w:rStyle w:val="14"/>
          <w:rFonts w:hint="eastAsia" w:ascii="仿宋" w:hAnsi="仿宋" w:eastAsia="仿宋" w:cs="仿宋"/>
          <w:b w:val="0"/>
          <w:bCs/>
          <w:sz w:val="30"/>
          <w:szCs w:val="30"/>
        </w:rPr>
        <w:t>万元，完成预算174.30%，</w:t>
      </w:r>
      <w:r>
        <w:rPr>
          <w:rFonts w:hint="eastAsia" w:ascii="仿宋" w:hAnsi="仿宋" w:eastAsia="仿宋" w:cs="仿宋"/>
          <w:sz w:val="30"/>
          <w:szCs w:val="30"/>
        </w:rPr>
        <w:t>决算数大于预算数的主要原因是政府加大教育投入。</w:t>
      </w:r>
    </w:p>
    <w:p>
      <w:pPr>
        <w:spacing w:line="600" w:lineRule="exact"/>
        <w:ind w:firstLine="562" w:firstLineChars="200"/>
        <w:rPr>
          <w:rFonts w:ascii="仿宋" w:hAnsi="仿宋" w:eastAsia="仿宋" w:cs="仿宋"/>
          <w:color w:val="000000"/>
          <w:sz w:val="30"/>
          <w:szCs w:val="30"/>
        </w:rPr>
      </w:pPr>
      <w:r>
        <w:rPr>
          <w:rStyle w:val="14"/>
          <w:rFonts w:hint="eastAsia" w:asciiTheme="minorEastAsia" w:hAnsiTheme="minorEastAsia" w:eastAsiaTheme="minorEastAsia"/>
          <w:bCs/>
          <w:color w:val="000000"/>
          <w:sz w:val="28"/>
          <w:szCs w:val="28"/>
        </w:rPr>
        <w:t>2</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Cs/>
          <w:color w:val="000000"/>
          <w:sz w:val="28"/>
          <w:szCs w:val="28"/>
        </w:rPr>
        <w:t>社会保障和就业</w:t>
      </w:r>
      <w:r>
        <w:rPr>
          <w:rStyle w:val="14"/>
          <w:rFonts w:hint="eastAsia" w:cs="宋体" w:asciiTheme="minorEastAsia" w:hAnsiTheme="minorEastAsia" w:eastAsiaTheme="minorEastAsia"/>
          <w:color w:val="000000"/>
          <w:sz w:val="28"/>
          <w:szCs w:val="28"/>
        </w:rPr>
        <w:t>2080505</w:t>
      </w:r>
      <w:r>
        <w:rPr>
          <w:rStyle w:val="14"/>
          <w:rFonts w:asciiTheme="minorEastAsia" w:hAnsiTheme="minorEastAsia" w:eastAsiaTheme="minorEastAsia"/>
          <w:bCs/>
          <w:color w:val="000000"/>
          <w:sz w:val="28"/>
          <w:szCs w:val="28"/>
        </w:rPr>
        <w:t>:</w:t>
      </w:r>
      <w:r>
        <w:rPr>
          <w:rStyle w:val="14"/>
          <w:rFonts w:hint="eastAsia" w:ascii="仿宋" w:hAnsi="仿宋" w:eastAsia="仿宋" w:cs="仿宋"/>
          <w:b w:val="0"/>
          <w:bCs/>
          <w:color w:val="000000"/>
          <w:sz w:val="30"/>
          <w:szCs w:val="30"/>
        </w:rPr>
        <w:t>支出决算为</w:t>
      </w:r>
      <w:r>
        <w:rPr>
          <w:rFonts w:hint="eastAsia" w:ascii="仿宋" w:hAnsi="仿宋" w:eastAsia="仿宋" w:cs="仿宋"/>
          <w:color w:val="000000" w:themeColor="text1"/>
          <w:sz w:val="30"/>
          <w:szCs w:val="30"/>
        </w:rPr>
        <w:t>91.88</w:t>
      </w:r>
      <w:r>
        <w:rPr>
          <w:rStyle w:val="14"/>
          <w:rFonts w:hint="eastAsia" w:ascii="仿宋" w:hAnsi="仿宋" w:eastAsia="仿宋" w:cs="仿宋"/>
          <w:b w:val="0"/>
          <w:bCs/>
          <w:color w:val="000000"/>
          <w:sz w:val="30"/>
          <w:szCs w:val="30"/>
        </w:rPr>
        <w:t>万元，完成预算118.34%，</w:t>
      </w:r>
      <w:r>
        <w:rPr>
          <w:rFonts w:hint="eastAsia" w:ascii="仿宋" w:hAnsi="仿宋" w:eastAsia="仿宋" w:cs="仿宋"/>
          <w:color w:val="000000"/>
          <w:sz w:val="30"/>
          <w:szCs w:val="30"/>
        </w:rPr>
        <w:t>决算数大于预算数的主要原因是政府加大教育投入。</w:t>
      </w:r>
    </w:p>
    <w:p>
      <w:pPr>
        <w:spacing w:line="600" w:lineRule="exact"/>
        <w:ind w:firstLine="562" w:firstLineChars="200"/>
        <w:rPr>
          <w:rStyle w:val="14"/>
          <w:rFonts w:ascii="仿宋" w:hAnsi="仿宋" w:eastAsia="仿宋" w:cs="仿宋"/>
          <w:b w:val="0"/>
          <w:bCs/>
          <w:color w:val="000000"/>
          <w:sz w:val="30"/>
          <w:szCs w:val="30"/>
        </w:rPr>
      </w:pPr>
      <w:r>
        <w:rPr>
          <w:rStyle w:val="14"/>
          <w:rFonts w:hint="eastAsia" w:asciiTheme="minorEastAsia" w:hAnsiTheme="minorEastAsia" w:eastAsiaTheme="minorEastAsia"/>
          <w:bCs/>
          <w:color w:val="000000"/>
          <w:sz w:val="28"/>
          <w:szCs w:val="28"/>
        </w:rPr>
        <w:t>3</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Cs/>
          <w:color w:val="000000"/>
          <w:sz w:val="28"/>
          <w:szCs w:val="28"/>
        </w:rPr>
        <w:t>卫生健康支出</w:t>
      </w:r>
      <w:r>
        <w:rPr>
          <w:rStyle w:val="14"/>
          <w:rFonts w:cs="宋体" w:asciiTheme="minorEastAsia" w:hAnsiTheme="minorEastAsia" w:eastAsiaTheme="minorEastAsia"/>
          <w:color w:val="000000"/>
          <w:sz w:val="28"/>
          <w:szCs w:val="28"/>
        </w:rPr>
        <w:t>2101102</w:t>
      </w:r>
      <w:r>
        <w:rPr>
          <w:rStyle w:val="14"/>
          <w:rFonts w:hint="eastAsia" w:cs="宋体" w:asciiTheme="minorEastAsia" w:hAnsiTheme="minorEastAsia" w:eastAsiaTheme="minorEastAsia"/>
          <w:color w:val="000000"/>
          <w:sz w:val="28"/>
          <w:szCs w:val="28"/>
        </w:rPr>
        <w:t>、</w:t>
      </w:r>
      <w:r>
        <w:rPr>
          <w:rStyle w:val="14"/>
          <w:rFonts w:cs="宋体" w:asciiTheme="minorEastAsia" w:hAnsiTheme="minorEastAsia" w:eastAsiaTheme="minorEastAsia"/>
          <w:color w:val="000000"/>
          <w:sz w:val="28"/>
          <w:szCs w:val="28"/>
        </w:rPr>
        <w:t>2101103</w:t>
      </w:r>
      <w:r>
        <w:rPr>
          <w:rStyle w:val="14"/>
          <w:rFonts w:asciiTheme="minorEastAsia" w:hAnsiTheme="minorEastAsia" w:eastAsiaTheme="minorEastAsia"/>
          <w:bCs/>
          <w:sz w:val="28"/>
          <w:szCs w:val="28"/>
        </w:rPr>
        <w:t>:</w:t>
      </w:r>
      <w:r>
        <w:rPr>
          <w:rStyle w:val="14"/>
          <w:rFonts w:hint="eastAsia" w:ascii="仿宋" w:hAnsi="仿宋" w:eastAsia="仿宋" w:cs="仿宋"/>
          <w:b w:val="0"/>
          <w:bCs/>
          <w:sz w:val="30"/>
          <w:szCs w:val="30"/>
        </w:rPr>
        <w:t>支出决算为</w:t>
      </w:r>
      <w:r>
        <w:rPr>
          <w:rFonts w:hint="eastAsia" w:ascii="仿宋" w:hAnsi="仿宋" w:eastAsia="仿宋" w:cs="仿宋"/>
          <w:sz w:val="30"/>
          <w:szCs w:val="30"/>
        </w:rPr>
        <w:t>47.03</w:t>
      </w:r>
      <w:r>
        <w:rPr>
          <w:rStyle w:val="14"/>
          <w:rFonts w:hint="eastAsia" w:ascii="仿宋" w:hAnsi="仿宋" w:eastAsia="仿宋" w:cs="仿宋"/>
          <w:b w:val="0"/>
          <w:bCs/>
          <w:sz w:val="30"/>
          <w:szCs w:val="30"/>
        </w:rPr>
        <w:t>万元，</w:t>
      </w:r>
      <w:r>
        <w:rPr>
          <w:rStyle w:val="14"/>
          <w:rFonts w:hint="eastAsia" w:ascii="仿宋" w:hAnsi="仿宋" w:eastAsia="仿宋" w:cs="仿宋"/>
          <w:b w:val="0"/>
          <w:bCs/>
          <w:color w:val="000000"/>
          <w:sz w:val="30"/>
          <w:szCs w:val="30"/>
        </w:rPr>
        <w:t>完成预算120.37%，</w:t>
      </w:r>
      <w:r>
        <w:rPr>
          <w:rFonts w:hint="eastAsia" w:ascii="仿宋" w:hAnsi="仿宋" w:eastAsia="仿宋" w:cs="仿宋"/>
          <w:color w:val="000000"/>
          <w:sz w:val="30"/>
          <w:szCs w:val="30"/>
        </w:rPr>
        <w:t>决算数大于预算数的主要原因是政府加大教育投入。</w:t>
      </w:r>
    </w:p>
    <w:p>
      <w:pPr>
        <w:spacing w:line="600" w:lineRule="exact"/>
        <w:ind w:firstLine="562" w:firstLineChars="200"/>
        <w:rPr>
          <w:rFonts w:cs="仿宋_GB2312" w:asciiTheme="minorEastAsia" w:hAnsiTheme="minorEastAsia" w:eastAsiaTheme="minorEastAsia"/>
          <w:color w:val="FF0000"/>
          <w:sz w:val="28"/>
          <w:szCs w:val="28"/>
        </w:rPr>
      </w:pPr>
      <w:r>
        <w:rPr>
          <w:rFonts w:hint="eastAsia" w:asciiTheme="minorEastAsia" w:hAnsiTheme="minorEastAsia" w:eastAsiaTheme="minorEastAsia"/>
          <w:b/>
          <w:color w:val="000000"/>
          <w:sz w:val="28"/>
          <w:szCs w:val="28"/>
        </w:rPr>
        <w:t>4.</w:t>
      </w:r>
      <w:r>
        <w:rPr>
          <w:rFonts w:hint="eastAsia" w:cs="宋体" w:asciiTheme="minorEastAsia" w:hAnsiTheme="minorEastAsia" w:eastAsiaTheme="minorEastAsia"/>
          <w:color w:val="000000"/>
          <w:sz w:val="28"/>
          <w:szCs w:val="28"/>
        </w:rPr>
        <w:t xml:space="preserve"> </w:t>
      </w:r>
      <w:r>
        <w:rPr>
          <w:rStyle w:val="14"/>
          <w:rFonts w:hint="eastAsia" w:cs="宋体" w:asciiTheme="minorEastAsia" w:hAnsiTheme="minorEastAsia" w:eastAsiaTheme="minorEastAsia"/>
          <w:color w:val="000000"/>
          <w:sz w:val="28"/>
          <w:szCs w:val="28"/>
        </w:rPr>
        <w:t>住房保障2210201：</w:t>
      </w:r>
      <w:r>
        <w:rPr>
          <w:rStyle w:val="14"/>
          <w:rFonts w:hint="eastAsia" w:ascii="仿宋" w:hAnsi="仿宋" w:eastAsia="仿宋" w:cs="仿宋"/>
          <w:b w:val="0"/>
          <w:bCs/>
          <w:color w:val="000000"/>
          <w:sz w:val="30"/>
          <w:szCs w:val="30"/>
        </w:rPr>
        <w:t>支出决算为</w:t>
      </w:r>
      <w:r>
        <w:rPr>
          <w:rFonts w:hint="eastAsia" w:ascii="仿宋" w:hAnsi="仿宋" w:eastAsia="仿宋" w:cs="仿宋"/>
          <w:color w:val="000000" w:themeColor="text1"/>
          <w:sz w:val="30"/>
          <w:szCs w:val="30"/>
        </w:rPr>
        <w:t>92.13</w:t>
      </w:r>
      <w:r>
        <w:rPr>
          <w:rStyle w:val="14"/>
          <w:rFonts w:hint="eastAsia" w:ascii="仿宋" w:hAnsi="仿宋" w:eastAsia="仿宋" w:cs="仿宋"/>
          <w:b w:val="0"/>
          <w:bCs/>
          <w:color w:val="000000"/>
          <w:sz w:val="30"/>
          <w:szCs w:val="30"/>
        </w:rPr>
        <w:t>万元，完成预算119.99%，</w:t>
      </w:r>
      <w:r>
        <w:rPr>
          <w:rFonts w:hint="eastAsia" w:ascii="仿宋" w:hAnsi="仿宋" w:eastAsia="仿宋" w:cs="仿宋"/>
          <w:color w:val="000000"/>
          <w:sz w:val="30"/>
          <w:szCs w:val="30"/>
        </w:rPr>
        <w:t>决算数大于预算数的主要原因是政府加大教育投入。</w:t>
      </w:r>
    </w:p>
    <w:p>
      <w:pPr>
        <w:tabs>
          <w:tab w:val="right" w:pos="8306"/>
        </w:tabs>
        <w:spacing w:line="600" w:lineRule="exact"/>
        <w:ind w:firstLine="320" w:firstLineChars="10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9年一般公共预算财政拨款基本支出</w:t>
      </w:r>
      <w:r>
        <w:rPr>
          <w:rFonts w:hint="eastAsia" w:ascii="仿宋" w:hAnsi="仿宋" w:eastAsia="仿宋"/>
          <w:color w:val="000000" w:themeColor="text1"/>
          <w:sz w:val="30"/>
          <w:szCs w:val="30"/>
        </w:rPr>
        <w:t>852.36</w:t>
      </w:r>
      <w:r>
        <w:rPr>
          <w:rFonts w:hint="eastAsia" w:ascii="仿宋" w:hAnsi="仿宋" w:eastAsia="仿宋"/>
          <w:color w:val="000000"/>
          <w:sz w:val="30"/>
          <w:szCs w:val="30"/>
        </w:rPr>
        <w:t>万元，其中：</w:t>
      </w:r>
      <w:r>
        <w:rPr>
          <w:rFonts w:ascii="仿宋" w:hAnsi="仿宋" w:eastAsia="仿宋"/>
          <w:color w:val="000000"/>
          <w:sz w:val="30"/>
          <w:szCs w:val="30"/>
        </w:rPr>
        <w:t xml:space="preserve"> </w:t>
      </w:r>
    </w:p>
    <w:p>
      <w:pPr>
        <w:spacing w:line="600" w:lineRule="exact"/>
        <w:ind w:firstLine="645"/>
        <w:rPr>
          <w:rFonts w:ascii="仿宋" w:hAnsi="仿宋" w:eastAsia="仿宋"/>
          <w:color w:val="000000"/>
          <w:sz w:val="32"/>
          <w:szCs w:val="32"/>
        </w:rPr>
      </w:pPr>
      <w:r>
        <w:rPr>
          <w:rFonts w:hint="eastAsia" w:ascii="仿宋" w:hAnsi="仿宋" w:eastAsia="仿宋"/>
          <w:sz w:val="30"/>
          <w:szCs w:val="30"/>
        </w:rPr>
        <w:t>人员经费830.88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0"/>
          <w:szCs w:val="30"/>
        </w:rPr>
        <w:br w:type="textWrapping"/>
      </w:r>
      <w:r>
        <w:rPr>
          <w:rFonts w:hint="eastAsia" w:ascii="仿宋" w:hAnsi="仿宋" w:eastAsia="仿宋"/>
          <w:sz w:val="30"/>
          <w:szCs w:val="30"/>
        </w:rPr>
        <w:t>　　日常公用经费21.48万元</w:t>
      </w:r>
      <w:r>
        <w:rPr>
          <w:rFonts w:hint="eastAsia" w:ascii="仿宋" w:hAnsi="仿宋" w:eastAsia="仿宋"/>
          <w:color w:val="000000"/>
          <w:sz w:val="30"/>
          <w:szCs w:val="30"/>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s="仿宋"/>
          <w:sz w:val="30"/>
          <w:szCs w:val="30"/>
        </w:rPr>
      </w:pPr>
      <w:r>
        <w:rPr>
          <w:rFonts w:hint="eastAsia" w:ascii="仿宋" w:hAnsi="仿宋" w:eastAsia="仿宋" w:cs="仿宋"/>
          <w:sz w:val="30"/>
          <w:szCs w:val="30"/>
        </w:rPr>
        <w:t>2019年“三公”经费财政拨款支出决算为21.91万元，2019年“三公”经费无预算数,决算数大于预算数的主要原因是因公出境及购买1辆车用于后勤保障。</w:t>
      </w:r>
    </w:p>
    <w:p>
      <w:pPr>
        <w:spacing w:line="600" w:lineRule="exact"/>
        <w:ind w:firstLine="643"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s="仿宋"/>
          <w:color w:val="000000"/>
          <w:sz w:val="30"/>
          <w:szCs w:val="30"/>
        </w:rPr>
      </w:pPr>
      <w:r>
        <w:rPr>
          <w:rFonts w:hint="eastAsia" w:ascii="仿宋" w:hAnsi="仿宋" w:eastAsia="仿宋" w:cs="仿宋"/>
          <w:color w:val="000000"/>
          <w:sz w:val="30"/>
          <w:szCs w:val="30"/>
        </w:rPr>
        <w:t>2019年“三公”经费财政拨款支出决算中，因公出国（境）费支出决算1.93万元，占8.81%；公务用车购置及运行维护费支出决算19.98万元，占91.19%；公务接待费支出决算0万元，占0%。具体情况如下：</w:t>
      </w:r>
    </w:p>
    <w:p>
      <w:pPr>
        <w:spacing w:line="600" w:lineRule="exact"/>
        <w:ind w:firstLine="640"/>
        <w:rPr>
          <w:rFonts w:ascii="仿宋" w:hAnsi="仿宋" w:eastAsia="仿宋" w:cs="仿宋"/>
          <w:b/>
          <w:color w:val="000000"/>
          <w:sz w:val="30"/>
          <w:szCs w:val="30"/>
        </w:rPr>
      </w:pPr>
      <w:bookmarkStart w:id="46" w:name="_Toc15377218"/>
      <w:bookmarkStart w:id="47" w:name="_Toc15396610"/>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rPr>
        <w:t>因公出国（境）经费支出</w:t>
      </w:r>
      <w:r>
        <w:rPr>
          <w:rFonts w:hint="eastAsia" w:ascii="仿宋" w:hAnsi="仿宋" w:eastAsia="仿宋" w:cs="仿宋"/>
          <w:color w:val="000000"/>
          <w:sz w:val="30"/>
          <w:szCs w:val="30"/>
        </w:rPr>
        <w:t>1.93万元，因公出国（境）经费支出无</w:t>
      </w:r>
      <w:r>
        <w:rPr>
          <w:rStyle w:val="14"/>
          <w:rFonts w:hint="eastAsia" w:ascii="仿宋" w:hAnsi="仿宋" w:eastAsia="仿宋" w:cs="仿宋"/>
          <w:b w:val="0"/>
          <w:bCs/>
          <w:color w:val="000000"/>
          <w:sz w:val="30"/>
          <w:szCs w:val="30"/>
        </w:rPr>
        <w:t>预算数。</w:t>
      </w:r>
      <w:r>
        <w:rPr>
          <w:rFonts w:hint="eastAsia" w:ascii="仿宋" w:hAnsi="仿宋" w:eastAsia="仿宋" w:cs="仿宋"/>
          <w:color w:val="000000"/>
          <w:sz w:val="30"/>
          <w:szCs w:val="30"/>
        </w:rPr>
        <w:t>全年安排因公出国（境）团组0次，出国（境）1人。因公出国（境）经费</w:t>
      </w:r>
      <w:r>
        <w:rPr>
          <w:rStyle w:val="14"/>
          <w:rFonts w:hint="eastAsia" w:ascii="仿宋" w:hAnsi="仿宋" w:eastAsia="仿宋" w:cs="仿宋"/>
          <w:b w:val="0"/>
          <w:bCs/>
          <w:color w:val="000000"/>
          <w:sz w:val="30"/>
          <w:szCs w:val="30"/>
        </w:rPr>
        <w:t>无预算数，</w:t>
      </w:r>
      <w:r>
        <w:rPr>
          <w:rFonts w:hint="eastAsia" w:ascii="仿宋" w:hAnsi="仿宋" w:eastAsia="仿宋" w:cs="仿宋"/>
          <w:sz w:val="30"/>
          <w:szCs w:val="30"/>
        </w:rPr>
        <w:t>决算数大于预算数的主要原因是因公出境</w:t>
      </w:r>
      <w:r>
        <w:rPr>
          <w:rStyle w:val="14"/>
          <w:rFonts w:hint="eastAsia" w:ascii="仿宋" w:hAnsi="仿宋" w:eastAsia="仿宋" w:cs="仿宋"/>
          <w:b w:val="0"/>
          <w:bCs/>
          <w:color w:val="000000"/>
          <w:sz w:val="30"/>
          <w:szCs w:val="30"/>
        </w:rPr>
        <w:t>。</w:t>
      </w:r>
    </w:p>
    <w:p>
      <w:pPr>
        <w:spacing w:line="360" w:lineRule="auto"/>
        <w:ind w:firstLine="640"/>
        <w:rPr>
          <w:rFonts w:ascii="仿宋" w:hAnsi="仿宋" w:eastAsia="仿宋" w:cs="仿宋"/>
          <w:color w:val="333333"/>
          <w:sz w:val="30"/>
          <w:szCs w:val="30"/>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公务用车购置及运行维护费支出</w:t>
      </w:r>
      <w:r>
        <w:rPr>
          <w:rFonts w:hint="eastAsia" w:ascii="仿宋" w:hAnsi="仿宋" w:eastAsia="仿宋" w:cs="仿宋"/>
          <w:color w:val="000000"/>
          <w:sz w:val="30"/>
          <w:szCs w:val="30"/>
        </w:rPr>
        <w:t>19.98万元。公务用车购置及运行维护费支出决算比2018年增加19.98万元。主要原因是</w:t>
      </w:r>
      <w:r>
        <w:rPr>
          <w:rFonts w:hint="eastAsia" w:ascii="仿宋" w:hAnsi="仿宋" w:eastAsia="仿宋" w:cs="仿宋"/>
          <w:color w:val="333333"/>
          <w:sz w:val="30"/>
          <w:szCs w:val="30"/>
        </w:rPr>
        <w:t>单位新购置1辆公务用车。</w:t>
      </w:r>
    </w:p>
    <w:p>
      <w:pPr>
        <w:spacing w:line="600" w:lineRule="exact"/>
        <w:ind w:firstLine="294" w:firstLineChars="98"/>
        <w:rPr>
          <w:rFonts w:ascii="仿宋" w:hAnsi="仿宋" w:eastAsia="仿宋" w:cs="仿宋"/>
          <w:b/>
          <w:color w:val="000000"/>
          <w:sz w:val="30"/>
          <w:szCs w:val="30"/>
        </w:rPr>
      </w:pPr>
      <w:r>
        <w:rPr>
          <w:rFonts w:hint="eastAsia" w:ascii="仿宋" w:hAnsi="仿宋" w:eastAsia="仿宋" w:cs="仿宋"/>
          <w:color w:val="000000"/>
          <w:sz w:val="30"/>
          <w:szCs w:val="30"/>
        </w:rPr>
        <w:t>其中：</w:t>
      </w:r>
      <w:r>
        <w:rPr>
          <w:rFonts w:hint="eastAsia" w:ascii="仿宋" w:hAnsi="仿宋" w:eastAsia="仿宋" w:cs="仿宋"/>
          <w:b/>
          <w:color w:val="000000"/>
          <w:sz w:val="30"/>
          <w:szCs w:val="30"/>
        </w:rPr>
        <w:t>公务用车购置支出</w:t>
      </w:r>
      <w:r>
        <w:rPr>
          <w:rFonts w:hint="eastAsia" w:ascii="仿宋" w:hAnsi="仿宋" w:eastAsia="仿宋" w:cs="仿宋"/>
          <w:color w:val="000000"/>
          <w:sz w:val="30"/>
          <w:szCs w:val="30"/>
        </w:rPr>
        <w:t>19.46万元。截至2019年12月底，单位共有公务用车1辆，其中：越野车1辆。</w:t>
      </w:r>
    </w:p>
    <w:p>
      <w:pPr>
        <w:spacing w:line="600" w:lineRule="exact"/>
        <w:ind w:firstLine="640"/>
        <w:rPr>
          <w:rFonts w:ascii="仿宋" w:hAnsi="仿宋" w:eastAsia="仿宋" w:cs="仿宋"/>
          <w:color w:val="000000"/>
          <w:sz w:val="30"/>
          <w:szCs w:val="30"/>
        </w:rPr>
      </w:pPr>
      <w:r>
        <w:rPr>
          <w:rFonts w:hint="eastAsia" w:ascii="仿宋" w:hAnsi="仿宋" w:eastAsia="仿宋" w:cs="仿宋"/>
          <w:b/>
          <w:color w:val="000000"/>
          <w:sz w:val="30"/>
          <w:szCs w:val="30"/>
        </w:rPr>
        <w:t>公务用车运行维护费支出</w:t>
      </w:r>
      <w:r>
        <w:rPr>
          <w:rFonts w:hint="eastAsia" w:ascii="仿宋" w:hAnsi="仿宋" w:eastAsia="仿宋" w:cs="仿宋"/>
          <w:color w:val="000000"/>
          <w:sz w:val="30"/>
          <w:szCs w:val="30"/>
        </w:rPr>
        <w:t>0.52万元。主要用于</w:t>
      </w:r>
      <w:r>
        <w:rPr>
          <w:rFonts w:hint="eastAsia" w:ascii="仿宋" w:hAnsi="仿宋" w:eastAsia="仿宋" w:cs="仿宋"/>
          <w:sz w:val="30"/>
          <w:szCs w:val="30"/>
        </w:rPr>
        <w:t>学校职工到上级相关部门开会、培训学习、采购办公用品</w:t>
      </w:r>
      <w:r>
        <w:rPr>
          <w:rFonts w:hint="eastAsia" w:ascii="仿宋" w:hAnsi="仿宋" w:eastAsia="仿宋" w:cs="仿宋"/>
          <w:color w:val="000000"/>
          <w:sz w:val="30"/>
          <w:szCs w:val="30"/>
        </w:rPr>
        <w:t>等所需的公务用车燃料费、维修费、过路过桥费、保险费等支出。</w:t>
      </w:r>
    </w:p>
    <w:p>
      <w:pPr>
        <w:spacing w:line="600" w:lineRule="exact"/>
        <w:ind w:firstLine="640"/>
        <w:rPr>
          <w:rFonts w:asciiTheme="minorEastAsia" w:hAnsiTheme="minorEastAsia" w:eastAsiaTheme="minorEastAsia"/>
          <w:color w:val="000000"/>
          <w:sz w:val="28"/>
          <w:szCs w:val="28"/>
        </w:rPr>
      </w:pPr>
      <w:r>
        <w:rPr>
          <w:rFonts w:hint="eastAsia" w:ascii="仿宋" w:hAnsi="仿宋" w:eastAsia="仿宋" w:cs="仿宋"/>
          <w:b/>
          <w:color w:val="000000"/>
          <w:sz w:val="30"/>
          <w:szCs w:val="30"/>
        </w:rPr>
        <w:t>3.公务接待费支出</w:t>
      </w:r>
      <w:r>
        <w:rPr>
          <w:rFonts w:hint="eastAsia" w:ascii="仿宋" w:hAnsi="仿宋" w:eastAsia="仿宋" w:cs="仿宋"/>
          <w:color w:val="000000"/>
          <w:sz w:val="30"/>
          <w:szCs w:val="30"/>
        </w:rPr>
        <w:t>0万元，</w:t>
      </w:r>
      <w:r>
        <w:rPr>
          <w:rStyle w:val="14"/>
          <w:rFonts w:hint="eastAsia" w:ascii="仿宋" w:hAnsi="仿宋" w:eastAsia="仿宋" w:cs="仿宋"/>
          <w:b w:val="0"/>
          <w:bCs/>
          <w:color w:val="000000"/>
          <w:sz w:val="30"/>
          <w:szCs w:val="30"/>
        </w:rPr>
        <w:t>公务接待无预算数。</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 w:hAnsi="仿宋" w:eastAsia="仿宋" w:cs="仿宋"/>
          <w:color w:val="000000"/>
          <w:sz w:val="30"/>
          <w:szCs w:val="30"/>
        </w:rPr>
      </w:pPr>
      <w:r>
        <w:rPr>
          <w:rFonts w:hint="eastAsia" w:ascii="仿宋" w:hAnsi="仿宋" w:eastAsia="仿宋" w:cs="仿宋"/>
          <w:color w:val="000000"/>
          <w:sz w:val="30"/>
          <w:szCs w:val="30"/>
        </w:rPr>
        <w:t>2019年政府性基金预算拨款支出0万元。</w:t>
      </w:r>
    </w:p>
    <w:p>
      <w:pPr>
        <w:spacing w:line="600" w:lineRule="exact"/>
        <w:ind w:firstLine="640" w:firstLineChars="20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九、国有资本经营预算支出决算情况说明</w:t>
      </w:r>
      <w:bookmarkEnd w:id="48"/>
      <w:bookmarkEnd w:id="49"/>
    </w:p>
    <w:p>
      <w:pPr>
        <w:spacing w:line="600" w:lineRule="exact"/>
        <w:ind w:firstLine="640"/>
        <w:rPr>
          <w:rFonts w:ascii="仿宋_GB2312" w:eastAsia="仿宋_GB2312"/>
          <w:color w:val="000000"/>
          <w:sz w:val="30"/>
          <w:szCs w:val="30"/>
        </w:rPr>
      </w:pPr>
      <w:r>
        <w:rPr>
          <w:rFonts w:ascii="仿宋_GB2312" w:eastAsia="仿宋_GB2312"/>
          <w:color w:val="000000"/>
          <w:sz w:val="30"/>
          <w:szCs w:val="30"/>
        </w:rPr>
        <w:t>201</w:t>
      </w:r>
      <w:r>
        <w:rPr>
          <w:rFonts w:hint="eastAsia" w:ascii="仿宋_GB2312" w:eastAsia="仿宋_GB2312"/>
          <w:color w:val="000000"/>
          <w:sz w:val="30"/>
          <w:szCs w:val="30"/>
        </w:rPr>
        <w:t>9年国有资本经营预算拨款支出0万元。</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sz w:val="32"/>
          <w:szCs w:val="32"/>
        </w:rPr>
        <w:t>2019年，思源实验学校机关运行经费支出0万元。与2018年决算数持平。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2019年，</w:t>
      </w:r>
      <w:r>
        <w:rPr>
          <w:rFonts w:hint="eastAsia" w:ascii="仿宋" w:hAnsi="仿宋" w:eastAsia="仿宋" w:cs="仿宋"/>
          <w:color w:val="000000"/>
          <w:sz w:val="32"/>
          <w:szCs w:val="32"/>
        </w:rPr>
        <w:t>思源实验</w:t>
      </w:r>
      <w:r>
        <w:rPr>
          <w:rFonts w:hint="eastAsia" w:ascii="仿宋" w:hAnsi="仿宋" w:eastAsia="仿宋" w:cs="仿宋"/>
          <w:color w:val="000000"/>
          <w:sz w:val="30"/>
          <w:szCs w:val="30"/>
        </w:rPr>
        <w:t>学校政府采购支出总额19.46万元 。其中：政府采购公务车支出19.46万元 。</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00" w:firstLineChars="200"/>
        <w:jc w:val="left"/>
        <w:rPr>
          <w:rFonts w:ascii="仿宋" w:hAnsi="仿宋" w:eastAsia="仿宋" w:cs="仿宋"/>
          <w:b/>
          <w:color w:val="FF0000"/>
          <w:sz w:val="30"/>
          <w:szCs w:val="30"/>
        </w:rPr>
      </w:pPr>
      <w:r>
        <w:rPr>
          <w:rFonts w:hint="eastAsia" w:ascii="仿宋" w:hAnsi="仿宋" w:eastAsia="仿宋" w:cs="仿宋"/>
          <w:color w:val="000000"/>
          <w:sz w:val="30"/>
          <w:szCs w:val="30"/>
        </w:rPr>
        <w:t>截至2019年12月31日，思源实验学校共有车辆1辆，其中：其他用车1辆，</w:t>
      </w:r>
      <w:r>
        <w:rPr>
          <w:rFonts w:hint="eastAsia" w:ascii="仿宋" w:hAnsi="仿宋" w:eastAsia="仿宋" w:cs="仿宋"/>
          <w:sz w:val="30"/>
          <w:szCs w:val="30"/>
        </w:rPr>
        <w:t>其他用车主要是用于后勤保障。</w:t>
      </w:r>
      <w:r>
        <w:rPr>
          <w:rFonts w:hint="eastAsia" w:ascii="仿宋" w:hAnsi="仿宋" w:eastAsia="仿宋" w:cs="仿宋"/>
          <w:color w:val="000000" w:themeColor="text1"/>
          <w:sz w:val="30"/>
          <w:szCs w:val="30"/>
        </w:rPr>
        <w:t>单价50万元以上通用设备0台（套），单价100</w:t>
      </w:r>
      <w:r>
        <w:rPr>
          <w:rFonts w:hint="eastAsia" w:ascii="仿宋" w:hAnsi="仿宋" w:eastAsia="仿宋" w:cs="仿宋"/>
          <w:color w:val="000000"/>
          <w:sz w:val="30"/>
          <w:szCs w:val="30"/>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450" w:firstLineChars="150"/>
        <w:rPr>
          <w:rFonts w:ascii="仿宋" w:hAnsi="仿宋" w:eastAsia="仿宋" w:cs="仿宋"/>
          <w:sz w:val="30"/>
          <w:szCs w:val="30"/>
        </w:rPr>
      </w:pPr>
      <w:r>
        <w:rPr>
          <w:rFonts w:hint="eastAsia" w:ascii="仿宋" w:hAnsi="仿宋" w:eastAsia="仿宋" w:cs="仿宋"/>
          <w:sz w:val="30"/>
          <w:szCs w:val="30"/>
        </w:rPr>
        <w:t>根据预算绩效管理要求，思源实验学校在年初预算编制阶段，组织对少年宫运转经费、教辅、后勤人员劳务费及教学管理经费项目开展了预算事前绩效评估，对少年宫运转经费、教辅、后勤人员劳务费及教学管理经费项目编制了绩效目标，预算执行过程中，对3个项目开展绩效监控，年终执行完毕后，对少年宫运转经费、教辅、后勤人员劳务费及教学管理经费项目3个项目开展了绩效目标完成情况梳理填报。</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思源实验学校按要求对2019年部门整体支出开展绩效自评，从评价情况来看部门整体绩效执行情况良好。思源实验学校还自行组织了少年宫运转经费、教辅、后勤人员劳务费及教学管理经费项目3个项目绩效评价，从评价情况来看3个项目绩效评价社会反响较好。</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1.项目绩效目标完成情况。</w:t>
      </w:r>
      <w:r>
        <w:rPr>
          <w:rFonts w:hint="eastAsia" w:ascii="仿宋" w:hAnsi="仿宋" w:eastAsia="仿宋" w:cs="仿宋"/>
          <w:sz w:val="30"/>
          <w:szCs w:val="30"/>
        </w:rPr>
        <w:br w:type="textWrapping"/>
      </w:r>
      <w:r>
        <w:rPr>
          <w:rFonts w:hint="eastAsia" w:ascii="仿宋" w:hAnsi="仿宋" w:eastAsia="仿宋" w:cs="仿宋"/>
          <w:sz w:val="30"/>
          <w:szCs w:val="30"/>
        </w:rPr>
        <w:t xml:space="preserve">     思源实验学校在2019年度部门决算中反映“少年宫运转经费”“ 教学管理经费”“教辅、后勤人员劳务费”3个项目绩效目标实际完成情况。（本单位部门项目绩效目标个数有3个，对3个项目全部进行公开，公开内容包括完成情况综述和完成情况表）。</w:t>
      </w:r>
    </w:p>
    <w:p>
      <w:pPr>
        <w:spacing w:line="580" w:lineRule="exact"/>
        <w:ind w:firstLine="891" w:firstLineChars="297"/>
        <w:rPr>
          <w:rFonts w:ascii="仿宋" w:hAnsi="仿宋" w:eastAsia="仿宋" w:cs="仿宋"/>
          <w:sz w:val="30"/>
          <w:szCs w:val="30"/>
        </w:rPr>
      </w:pPr>
      <w:r>
        <w:rPr>
          <w:rFonts w:hint="eastAsia" w:ascii="仿宋" w:hAnsi="仿宋" w:eastAsia="仿宋" w:cs="仿宋"/>
          <w:sz w:val="30"/>
          <w:szCs w:val="30"/>
        </w:rPr>
        <w:t>（1）教辅、后勤人员劳务费项目绩效目标完成情况综述。项目全年预算数187.34万元，执行数为174.05万元，完成预算的93%。通过项目实施，教辅、后勤人员劳务费项目根据《四川省教育厅关于在民族地区义务教育阶段寄宿制学校实行标准（规范）化管理的通知》和《四川省人民政府办公厅关于建立健全农村义务教育学生营养改善计划长效保障机制的通知》，保证2019年教学工作正常运转。学生、家长、教师、社会满意度达到96%。，发现的主要问题：项目实施过程整个项目到每年底都能按时完成，但在具体实施节点有差异。下一步改进措施：2020年，我们尽量按年初项目计划实施。</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2）教学管理经费项目绩效目标完成情况综述。项目全年预算数30万元，执行数为30万元，完成预算的100%。通过项目实施，保证2019年学校教学工作正常运转，促进学校整体教育教学质量提高。本学年教学成绩均应达到考核目标要求，不断改善办学条件；认真抓好食品卫生安全及防疫等节节胜利 。年终教学督导工作综合评估争取创特等奖。发现的主要问题：项目实施过程整个项目到每年底都能按时完成，但在具体实施节点有差异。下一步改进措施：2020年，我们尽量按年初项目计划实施。</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4）乡村少年宫运转经费绩效目标完成情况综述。项目全年预算数2万元，执行数为2万元，完成预算的100%。通过项目实施，学校及少年宫运转资金有力的保障了学校的运转，对少年宫的活动开展进行了保障，学校的教育和课外兴趣活动取得了很大的成绩。发现的主要问题：项目实施过程整个项目到每年底都能按时完成，但在具体实施节点有差异。下一步改进措施：2020年，我们尽量按年初项目计划实施。</w:t>
      </w:r>
    </w:p>
    <w:p>
      <w:pPr>
        <w:spacing w:line="580" w:lineRule="exact"/>
        <w:rPr>
          <w:rFonts w:ascii="仿宋" w:hAnsi="仿宋" w:eastAsia="仿宋" w:cs="仿宋"/>
          <w:sz w:val="30"/>
          <w:szCs w:val="30"/>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color w:val="000000"/>
                <w:szCs w:val="21"/>
              </w:rPr>
            </w:pPr>
            <w:r>
              <w:rPr>
                <w:rFonts w:hint="eastAsia" w:ascii="宋体" w:hAnsi="宋体" w:cs="宋体"/>
                <w:b/>
                <w:bCs/>
                <w:color w:val="000000"/>
                <w:kern w:val="0"/>
                <w:szCs w:val="21"/>
              </w:rPr>
              <w:t>项目绩效目标完成情况表</w:t>
            </w:r>
            <w:r>
              <w:rPr>
                <w:rFonts w:hint="eastAsia" w:ascii="宋体" w:hAnsi="宋体" w:cs="宋体"/>
                <w:b/>
                <w:bCs/>
                <w:color w:val="000000"/>
                <w:kern w:val="0"/>
                <w:szCs w:val="21"/>
              </w:rPr>
              <w:br w:type="textWrapping"/>
            </w:r>
            <w:r>
              <w:rPr>
                <w:rFonts w:hint="eastAsia" w:ascii="宋体" w:hAnsi="宋体" w:cs="宋体"/>
                <w:color w:val="000000"/>
                <w:kern w:val="0"/>
                <w:szCs w:val="21"/>
              </w:rPr>
              <w:t>(2019 年度)</w:t>
            </w:r>
          </w:p>
        </w:tc>
      </w:tr>
      <w:tr>
        <w:tblPrEx>
          <w:tblCellMar>
            <w:top w:w="0" w:type="dxa"/>
            <w:left w:w="0" w:type="dxa"/>
            <w:bottom w:w="0" w:type="dxa"/>
            <w:right w:w="0" w:type="dxa"/>
          </w:tblCellMar>
        </w:tblPrEx>
        <w:trPr>
          <w:trHeight w:val="341"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教学管理经费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思源实验学校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仿宋_GB2312"/>
                <w:szCs w:val="21"/>
              </w:rPr>
              <w:t>保证2019年学校教学工作正常运转，促进学校整体教育教学质量提高。本学年教学成绩均应达到考核目标要求，不断改善办学条件；认真抓好食品卫生安全及防疫等节节胜利 。年终教学督导工作综合评估争取创特等奖。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仿宋_GB2312"/>
                <w:szCs w:val="21"/>
              </w:rPr>
              <w:t>保证2019年学校教学工作正常运转，促进学校整体教育教学质量提高。本学年教学成绩均应达到考核目标要求，不断改善办学条件；认真抓好食品卫生安全及防疫等节节胜利 。年终教学督导工作综合评估争取创特等奖。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确保小学部849名学生和初中部303名学生在校学生的正常教学及教学设施维修购置发展，弥补办公经费不足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确保小学部849名学生和初中部303名学生在校学生的正常教学及教学设施维修购置发展，弥补办公经费不足</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办公用品定点采购，教学设备政府公开招标采购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办公用品定点采购，教学设备政府公开招标采购</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消除学校各种安全隐患，确保学校教学正常运行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消除学校各种安全隐患，确保学校教学正常运行</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教辅、后勤人员劳务费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Cs w:val="21"/>
              </w:rPr>
              <w:t>思源实验学校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187.34万元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187.34万元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74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根据《四川省教育厅关于在民族地区义务教育阶段寄宿制学校实行标准（规范）化管理的通知》和《四川省人民政府办公厅关于建立健全农村义务教育学生营养改善计划长效保障机制的通知》，保证2019年教学工作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根据《四川省教育厅关于在民族地区义务教育阶段寄宿制学校实行标准（规范）化管理的通知》和《四川省人民政府办公厅关于建立健全农村义务教育学生营养改善计划长效保障机制的通知》，保证2019年教学工作正常运转。</w:t>
            </w:r>
          </w:p>
        </w:tc>
      </w:tr>
      <w:tr>
        <w:tblPrEx>
          <w:tblCellMar>
            <w:top w:w="0" w:type="dxa"/>
            <w:left w:w="0" w:type="dxa"/>
            <w:bottom w:w="0" w:type="dxa"/>
            <w:right w:w="0" w:type="dxa"/>
          </w:tblCellMar>
        </w:tblPrEx>
        <w:trPr>
          <w:trHeight w:val="63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确保小学部849名学生和初中部303名学生在校学生的正常饮食、住宿管理。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确保小学部849名学生和初中部303名学生在校学生的正常饮食、住宿管理。</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r>
      <w:tr>
        <w:tblPrEx>
          <w:tblCellMar>
            <w:top w:w="0" w:type="dxa"/>
            <w:left w:w="0" w:type="dxa"/>
            <w:bottom w:w="0" w:type="dxa"/>
            <w:right w:w="0" w:type="dxa"/>
          </w:tblCellMar>
        </w:tblPrEx>
        <w:trPr>
          <w:trHeight w:val="93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56名教辅人员经费。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56名教辅人员经费。</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教学情况良好，学校正常开展教育教学工作。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教学情况良好，学校正常开展教育教学工作。</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学生、家长、社会满意度≥</w:t>
            </w:r>
            <w:r>
              <w:t>96%</w:t>
            </w:r>
            <w:r>
              <w:rPr>
                <w:rFonts w:hint="eastAsia"/>
              </w:rPr>
              <w:t>；项目主管部门满意度≥</w:t>
            </w:r>
            <w:r>
              <w:t>90%</w:t>
            </w:r>
          </w:p>
        </w:tc>
      </w:tr>
    </w:tbl>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少年宫运转经费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Cs w:val="21"/>
              </w:rPr>
              <w:t>思源实验学校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保证2019年学校少年宫设施购置，促进学校少年宫发展。改善少年宫环境条件；年终少年宫评估争创一等奖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保证2019年学校少年宫设施购置，促进学校少年宫发展。改善少年宫环境条件；年终少年宫评估争创一等奖。</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确保小学部849名学生少年宫活动正常开展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确保小学部849名学生少年宫活动正常开展</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支付采购的各项经费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支付采购的各项经费</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提高学生综合素质教育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提高学生综合素质教育</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r>
    </w:tbl>
    <w:p>
      <w:pPr>
        <w:spacing w:line="580" w:lineRule="exact"/>
        <w:ind w:left="630"/>
        <w:rPr>
          <w:rFonts w:ascii="仿宋_GB2312" w:hAnsi="仿宋_GB2312" w:eastAsia="仿宋_GB2312" w:cs="仿宋_GB2312"/>
          <w:szCs w:val="21"/>
        </w:rPr>
      </w:pPr>
    </w:p>
    <w:p>
      <w:pPr>
        <w:spacing w:line="580" w:lineRule="exact"/>
        <w:ind w:left="630"/>
        <w:rPr>
          <w:rFonts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思源实验学校按要求对2019年部门整体支出绩效评价情况开展自评，《思源实验学校2019年部门整体支出绩效评价报告》见附件。</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思源实验学校自行组织对教学管理经费项目以及</w:t>
      </w:r>
      <w:r>
        <w:rPr>
          <w:rFonts w:hint="eastAsia" w:ascii="仿宋" w:hAnsi="仿宋" w:eastAsia="仿宋" w:cs="仿宋"/>
          <w:color w:val="000000"/>
          <w:sz w:val="30"/>
          <w:szCs w:val="30"/>
        </w:rPr>
        <w:t>教辅、后勤人员劳务费</w:t>
      </w:r>
      <w:r>
        <w:rPr>
          <w:rFonts w:hint="eastAsia" w:ascii="仿宋" w:hAnsi="仿宋" w:eastAsia="仿宋" w:cs="仿宋"/>
          <w:sz w:val="30"/>
          <w:szCs w:val="30"/>
        </w:rPr>
        <w:t>开展了绩效评价，《教学管理经费项目2019年绩效评价报告》《</w:t>
      </w:r>
      <w:r>
        <w:rPr>
          <w:rFonts w:hint="eastAsia" w:ascii="仿宋" w:hAnsi="仿宋" w:eastAsia="仿宋" w:cs="仿宋"/>
          <w:color w:val="000000"/>
          <w:sz w:val="30"/>
          <w:szCs w:val="30"/>
        </w:rPr>
        <w:t>教辅、后勤人员劳务费</w:t>
      </w:r>
      <w:r>
        <w:rPr>
          <w:rFonts w:hint="eastAsia" w:ascii="仿宋" w:hAnsi="仿宋" w:eastAsia="仿宋" w:cs="仿宋"/>
          <w:sz w:val="30"/>
          <w:szCs w:val="30"/>
        </w:rPr>
        <w:t>》见附件。</w:t>
      </w:r>
    </w:p>
    <w:p>
      <w:pPr>
        <w:widowControl/>
        <w:jc w:val="left"/>
        <w:rPr>
          <w:rFonts w:ascii="仿宋" w:hAnsi="仿宋" w:eastAsia="仿宋" w:cs="仿宋"/>
          <w:b/>
          <w:color w:val="000000"/>
          <w:sz w:val="30"/>
          <w:szCs w:val="30"/>
        </w:rPr>
      </w:pPr>
      <w:r>
        <w:rPr>
          <w:rFonts w:hint="eastAsia" w:ascii="仿宋" w:hAnsi="仿宋" w:eastAsia="仿宋" w:cs="仿宋"/>
          <w:b/>
          <w:color w:val="000000"/>
          <w:sz w:val="30"/>
          <w:szCs w:val="30"/>
        </w:rPr>
        <w:br w:type="page"/>
      </w:r>
    </w:p>
    <w:p>
      <w:pPr>
        <w:numPr>
          <w:ilvl w:val="0"/>
          <w:numId w:val="2"/>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四川仁和思源实验学校</w:t>
      </w:r>
      <w:r>
        <w:rPr>
          <w:rFonts w:ascii="黑体" w:hAnsi="黑体" w:eastAsia="黑体" w:cs="方正小标宋简体"/>
          <w:sz w:val="36"/>
          <w:szCs w:val="36"/>
        </w:rPr>
        <w:t>201</w:t>
      </w:r>
      <w:r>
        <w:rPr>
          <w:rFonts w:hint="eastAsia" w:ascii="黑体" w:hAnsi="黑体" w:eastAsia="黑体" w:cs="方正小标宋简体"/>
          <w:sz w:val="36"/>
          <w:szCs w:val="36"/>
        </w:rPr>
        <w:t>9年部门整体支出绩效</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评价报告</w:t>
      </w:r>
      <w:bookmarkEnd w:id="59"/>
    </w:p>
    <w:p>
      <w:pPr>
        <w:spacing w:line="580" w:lineRule="exact"/>
        <w:ind w:firstLine="640" w:firstLineChars="200"/>
        <w:rPr>
          <w:rFonts w:ascii="黑体" w:hAnsi="黑体" w:eastAsia="黑体" w:cs="黑体"/>
          <w:sz w:val="32"/>
          <w:szCs w:val="32"/>
        </w:rPr>
      </w:pP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一、部门（单位）概况</w:t>
      </w:r>
    </w:p>
    <w:p>
      <w:pPr>
        <w:pStyle w:val="5"/>
        <w:adjustRightInd w:val="0"/>
        <w:snapToGrid w:val="0"/>
        <w:spacing w:before="93" w:line="580" w:lineRule="exact"/>
        <w:ind w:firstLine="630" w:firstLineChars="210"/>
        <w:rPr>
          <w:rFonts w:ascii="仿宋" w:hAnsi="仿宋" w:eastAsia="仿宋" w:cs="仿宋"/>
          <w:szCs w:val="30"/>
        </w:rPr>
      </w:pPr>
      <w:r>
        <w:rPr>
          <w:rFonts w:hint="eastAsia" w:ascii="仿宋" w:hAnsi="仿宋" w:eastAsia="仿宋" w:cs="仿宋"/>
          <w:szCs w:val="30"/>
        </w:rPr>
        <w:t>1、主要职能：</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580" w:lineRule="exact"/>
        <w:ind w:firstLine="450" w:firstLineChars="150"/>
        <w:rPr>
          <w:rFonts w:ascii="仿宋" w:hAnsi="仿宋" w:eastAsia="仿宋" w:cs="仿宋"/>
          <w:color w:val="FF0000"/>
          <w:szCs w:val="30"/>
        </w:rPr>
      </w:pPr>
      <w:r>
        <w:rPr>
          <w:rFonts w:hint="eastAsia" w:ascii="仿宋" w:hAnsi="仿宋" w:eastAsia="仿宋" w:cs="仿宋"/>
          <w:color w:val="FF0000"/>
          <w:szCs w:val="30"/>
        </w:rPr>
        <w:t>2、机构情况，包括当年变动情况及原因。</w:t>
      </w:r>
    </w:p>
    <w:p>
      <w:pPr>
        <w:snapToGrid w:val="0"/>
        <w:spacing w:line="520" w:lineRule="exact"/>
        <w:ind w:firstLine="600" w:firstLineChars="200"/>
        <w:rPr>
          <w:rFonts w:ascii="仿宋" w:hAnsi="仿宋" w:eastAsia="仿宋" w:cs="仿宋"/>
          <w:color w:val="FF0000"/>
          <w:sz w:val="30"/>
          <w:szCs w:val="30"/>
        </w:rPr>
      </w:pPr>
      <w:bookmarkStart w:id="74" w:name="_GoBack"/>
      <w:bookmarkEnd w:id="74"/>
      <w:r>
        <w:rPr>
          <w:rFonts w:hint="eastAsia" w:ascii="仿宋" w:hAnsi="仿宋" w:eastAsia="仿宋" w:cs="仿宋"/>
          <w:color w:val="FF0000"/>
          <w:sz w:val="30"/>
          <w:szCs w:val="30"/>
        </w:rPr>
        <w:t>学校属于独立核算的一类事业单位，由财政全额拨款的事业单位。2019年无变动情况。</w:t>
      </w:r>
    </w:p>
    <w:p>
      <w:pPr>
        <w:snapToGrid w:val="0"/>
        <w:spacing w:line="520" w:lineRule="exact"/>
        <w:ind w:firstLine="600" w:firstLineChars="200"/>
        <w:rPr>
          <w:rFonts w:ascii="仿宋" w:hAnsi="仿宋" w:eastAsia="仿宋" w:cs="仿宋"/>
          <w:color w:val="FF0000"/>
          <w:sz w:val="30"/>
          <w:szCs w:val="30"/>
        </w:rPr>
      </w:pPr>
      <w:r>
        <w:rPr>
          <w:rFonts w:hint="eastAsia" w:ascii="仿宋" w:hAnsi="仿宋" w:eastAsia="仿宋" w:cs="仿宋"/>
          <w:color w:val="FF0000"/>
          <w:sz w:val="30"/>
          <w:szCs w:val="30"/>
        </w:rPr>
        <w:t>3、人员情况，包括当年变动情况及原因。</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color w:val="FF0000"/>
          <w:sz w:val="30"/>
          <w:szCs w:val="30"/>
        </w:rPr>
        <w:t>我校现有财政补助开支人数33人，其中：在职教职工33人。与上年相比减少1人。主要原因是：2019年调出1人 。</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二、部门财政资金收支情况</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（一）部门财政资金收入情况。</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2019年初财政拨款预算收入939.12万元，调整财政拨款预算收入1546.24万元。2019年财政拨款收入1546.24万元，2019年与2018年相比较财政拨款预算收入增加590.49万元，原因：人员增加，人员经费增加。</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（二）部门财政资金支出情况。</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2019年预算安排支出数为939.12万元，2019年财政拨款支出数为1538.67万元。2019年与2018年相比较支出增加658.67万元。原因：项目经费增加。</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三、部门整体预算绩效管理情况</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（一）部门预算管理。</w:t>
      </w:r>
    </w:p>
    <w:p>
      <w:pPr>
        <w:widowControl/>
        <w:adjustRightInd w:val="0"/>
        <w:snapToGrid w:val="0"/>
        <w:spacing w:line="540" w:lineRule="exact"/>
        <w:ind w:firstLine="600" w:firstLineChars="200"/>
        <w:jc w:val="left"/>
        <w:rPr>
          <w:rFonts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（二）专项预算管理。</w:t>
      </w:r>
    </w:p>
    <w:p>
      <w:pPr>
        <w:widowControl/>
        <w:adjustRightInd w:val="0"/>
        <w:snapToGrid w:val="0"/>
        <w:spacing w:line="540" w:lineRule="exact"/>
        <w:ind w:firstLine="720"/>
        <w:jc w:val="left"/>
        <w:rPr>
          <w:rFonts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我校严格执行《四川省省级财政专项资金绩效分配管理暂行办法》，实施绩效分配合理支出，厉行节约，提高资金的使用效率，确保学校教育教学工作的正常运行。</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（三）结果应用情况。</w:t>
      </w:r>
    </w:p>
    <w:p>
      <w:pPr>
        <w:widowControl/>
        <w:adjustRightInd w:val="0"/>
        <w:snapToGrid w:val="0"/>
        <w:spacing w:line="540" w:lineRule="exact"/>
        <w:ind w:firstLine="720"/>
        <w:jc w:val="left"/>
        <w:rPr>
          <w:rFonts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我校建立了财务管理规章制度，会计核算和账务管理良好，严格执行政府采购制度。</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四、评价结论及建议</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（一）评价结论:良好</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（二）存在问题。</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项目实施过程整个项目到每年底都能按时完成，便在具体实施节点有差异。</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（三）改进建议。</w:t>
      </w:r>
    </w:p>
    <w:p>
      <w:pPr>
        <w:snapToGrid w:val="0"/>
        <w:spacing w:line="520" w:lineRule="exact"/>
        <w:rPr>
          <w:rFonts w:ascii="仿宋" w:hAnsi="仿宋" w:eastAsia="仿宋" w:cs="仿宋"/>
          <w:sz w:val="30"/>
          <w:szCs w:val="30"/>
        </w:rPr>
      </w:pPr>
      <w:r>
        <w:rPr>
          <w:rFonts w:hint="eastAsia" w:ascii="仿宋" w:hAnsi="仿宋" w:eastAsia="仿宋" w:cs="仿宋"/>
          <w:sz w:val="30"/>
          <w:szCs w:val="30"/>
        </w:rPr>
        <w:t xml:space="preserve">          2020年，我们尽量按年初项目计划实施。</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宋体" w:cs="方正小标宋简体"/>
          <w:sz w:val="32"/>
          <w:szCs w:val="32"/>
        </w:rPr>
      </w:pPr>
      <w:r>
        <w:rPr>
          <w:rFonts w:ascii="宋体" w:hAnsi="宋体" w:cs="方正小标宋简体"/>
          <w:sz w:val="32"/>
          <w:szCs w:val="32"/>
        </w:rPr>
        <w:t>201</w:t>
      </w:r>
      <w:r>
        <w:rPr>
          <w:rFonts w:hint="eastAsia" w:ascii="宋体" w:hAnsi="宋体" w:cs="方正小标宋简体"/>
          <w:sz w:val="32"/>
          <w:szCs w:val="32"/>
        </w:rPr>
        <w:t>9年教学管理经费项目支出绩效</w:t>
      </w:r>
    </w:p>
    <w:p>
      <w:pPr>
        <w:spacing w:line="580" w:lineRule="exact"/>
        <w:jc w:val="center"/>
        <w:rPr>
          <w:rFonts w:ascii="宋体" w:cs="方正小标宋简体"/>
          <w:sz w:val="32"/>
          <w:szCs w:val="32"/>
        </w:rPr>
      </w:pPr>
      <w:r>
        <w:rPr>
          <w:rFonts w:hint="eastAsia" w:ascii="宋体" w:hAnsi="宋体" w:cs="方正小标宋简体"/>
          <w:sz w:val="32"/>
          <w:szCs w:val="32"/>
        </w:rPr>
        <w:t>评价报告</w:t>
      </w:r>
    </w:p>
    <w:p>
      <w:pPr>
        <w:spacing w:line="580" w:lineRule="exact"/>
        <w:ind w:firstLine="640" w:firstLineChars="200"/>
        <w:rPr>
          <w:rFonts w:ascii="宋体" w:cs="仿宋_GB2312"/>
          <w:sz w:val="32"/>
          <w:szCs w:val="32"/>
        </w:rPr>
      </w:pP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一、评价工作开展及项目情况</w:t>
      </w:r>
    </w:p>
    <w:p>
      <w:pPr>
        <w:ind w:firstLine="600" w:firstLineChars="200"/>
        <w:rPr>
          <w:rFonts w:ascii="仿宋" w:hAnsi="仿宋" w:eastAsia="仿宋" w:cs="仿宋"/>
          <w:sz w:val="30"/>
          <w:szCs w:val="30"/>
        </w:rPr>
      </w:pPr>
      <w:r>
        <w:rPr>
          <w:rFonts w:hint="eastAsia" w:ascii="仿宋" w:hAnsi="仿宋" w:eastAsia="仿宋" w:cs="仿宋"/>
          <w:sz w:val="30"/>
          <w:szCs w:val="30"/>
        </w:rPr>
        <w:t>做好项目前期准备工作，全面改善学校办学条件，提升办学水平，推进学前教育持续健康发展。</w:t>
      </w:r>
    </w:p>
    <w:p>
      <w:pPr>
        <w:rPr>
          <w:rFonts w:ascii="仿宋" w:hAnsi="仿宋" w:eastAsia="仿宋" w:cs="仿宋"/>
          <w:sz w:val="30"/>
          <w:szCs w:val="30"/>
        </w:rPr>
      </w:pPr>
      <w:r>
        <w:rPr>
          <w:rFonts w:hint="eastAsia" w:ascii="仿宋" w:hAnsi="仿宋" w:eastAsia="仿宋" w:cs="仿宋"/>
          <w:sz w:val="30"/>
          <w:szCs w:val="30"/>
        </w:rPr>
        <w:t>二、评价结论及绩效分析</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（一）评价结论</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（二）绩效分析</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1、项目决策</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项目成本（预算）使用合理，无超支。项目的实施进度按规定时间完成工作量。</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2、项目管理</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项目资金管理情况分析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3、项目绩效</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2019年教学管理教育经费项目资金，到位及时，达到预期绩效目标要求。这是件有利于民生的大好事，是一项关心老百姓、深得民心的好项目，该项工作应当继续深化开展。</w:t>
      </w:r>
    </w:p>
    <w:p>
      <w:pPr>
        <w:numPr>
          <w:ilvl w:val="0"/>
          <w:numId w:val="3"/>
        </w:numPr>
        <w:spacing w:line="580" w:lineRule="exact"/>
        <w:rPr>
          <w:rFonts w:ascii="仿宋" w:hAnsi="仿宋" w:eastAsia="仿宋" w:cs="仿宋"/>
          <w:sz w:val="30"/>
          <w:szCs w:val="30"/>
        </w:rPr>
      </w:pPr>
      <w:r>
        <w:rPr>
          <w:rFonts w:hint="eastAsia" w:ascii="仿宋" w:hAnsi="仿宋" w:eastAsia="仿宋" w:cs="仿宋"/>
          <w:sz w:val="30"/>
          <w:szCs w:val="30"/>
        </w:rPr>
        <w:t>存在主要问题</w:t>
      </w:r>
    </w:p>
    <w:p>
      <w:pPr>
        <w:spacing w:line="580" w:lineRule="exact"/>
        <w:ind w:left="640" w:leftChars="305" w:firstLine="600" w:firstLineChars="200"/>
        <w:rPr>
          <w:rFonts w:ascii="仿宋" w:hAnsi="仿宋" w:eastAsia="仿宋" w:cs="仿宋"/>
          <w:sz w:val="30"/>
          <w:szCs w:val="30"/>
        </w:rPr>
      </w:pPr>
      <w:r>
        <w:rPr>
          <w:rFonts w:hint="eastAsia" w:ascii="仿宋" w:hAnsi="仿宋" w:eastAsia="仿宋" w:cs="仿宋"/>
          <w:sz w:val="30"/>
          <w:szCs w:val="30"/>
        </w:rPr>
        <w:t>资金太少，望上级有关部门加大资金扶持力度，全面改善学前教育办学条件。</w:t>
      </w:r>
    </w:p>
    <w:p>
      <w:pPr>
        <w:numPr>
          <w:ilvl w:val="0"/>
          <w:numId w:val="3"/>
        </w:numPr>
        <w:spacing w:line="580" w:lineRule="exact"/>
        <w:rPr>
          <w:rFonts w:ascii="仿宋" w:hAnsi="仿宋" w:eastAsia="仿宋" w:cs="仿宋"/>
          <w:sz w:val="30"/>
          <w:szCs w:val="30"/>
        </w:rPr>
      </w:pPr>
      <w:r>
        <w:rPr>
          <w:rFonts w:hint="eastAsia" w:ascii="仿宋" w:hAnsi="仿宋" w:eastAsia="仿宋" w:cs="仿宋"/>
          <w:sz w:val="30"/>
          <w:szCs w:val="30"/>
        </w:rPr>
        <w:t>相关措施建议</w:t>
      </w:r>
    </w:p>
    <w:p>
      <w:pPr>
        <w:spacing w:line="580" w:lineRule="exact"/>
        <w:ind w:left="640" w:leftChars="305" w:firstLine="600" w:firstLineChars="200"/>
        <w:rPr>
          <w:rStyle w:val="24"/>
          <w:rFonts w:ascii="仿宋" w:hAnsi="仿宋" w:eastAsia="仿宋" w:cs="仿宋"/>
          <w:b w:val="0"/>
          <w:bCs w:val="0"/>
          <w:sz w:val="30"/>
          <w:szCs w:val="30"/>
        </w:rPr>
      </w:pPr>
      <w:r>
        <w:rPr>
          <w:rFonts w:hint="eastAsia" w:ascii="仿宋" w:hAnsi="仿宋" w:eastAsia="仿宋" w:cs="仿宋"/>
          <w:sz w:val="30"/>
          <w:szCs w:val="30"/>
        </w:rPr>
        <w:t>2019年度教学管理教育经费项目的实施，为我校教育的发展提供了有力的保障。因而这项工作得到广泛支持。问题工程手续办理慢，影响了工程进度。建议：简化工程手续；加大资金投入，全面改善学前教育办学条件。</w:t>
      </w:r>
    </w:p>
    <w:p>
      <w:pPr>
        <w:spacing w:line="600" w:lineRule="exact"/>
        <w:jc w:val="center"/>
        <w:outlineLvl w:val="0"/>
        <w:rPr>
          <w:rFonts w:ascii="仿宋" w:hAnsi="仿宋" w:eastAsia="仿宋" w:cs="仿宋"/>
          <w:sz w:val="30"/>
          <w:szCs w:val="30"/>
        </w:rPr>
      </w:pPr>
    </w:p>
    <w:p>
      <w:pPr>
        <w:widowControl/>
        <w:jc w:val="left"/>
        <w:rPr>
          <w:rStyle w:val="24"/>
          <w:rFonts w:ascii="仿宋" w:hAnsi="仿宋" w:eastAsia="仿宋" w:cs="仿宋"/>
          <w:b w:val="0"/>
          <w:sz w:val="30"/>
          <w:szCs w:val="30"/>
        </w:rPr>
      </w:pPr>
    </w:p>
    <w:p>
      <w:pPr>
        <w:widowControl/>
        <w:jc w:val="left"/>
        <w:rPr>
          <w:rStyle w:val="24"/>
          <w:rFonts w:ascii="仿宋" w:hAnsi="仿宋" w:eastAsia="仿宋" w:cs="仿宋"/>
          <w:b w:val="0"/>
          <w:sz w:val="30"/>
          <w:szCs w:val="30"/>
        </w:rPr>
      </w:pPr>
      <w:r>
        <w:rPr>
          <w:rStyle w:val="24"/>
          <w:rFonts w:hint="eastAsia" w:ascii="仿宋" w:hAnsi="仿宋" w:eastAsia="仿宋" w:cs="仿宋"/>
          <w:b w:val="0"/>
          <w:sz w:val="30"/>
          <w:szCs w:val="30"/>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宋体" w:cs="方正小标宋简体"/>
          <w:sz w:val="32"/>
          <w:szCs w:val="32"/>
        </w:rPr>
      </w:pPr>
      <w:r>
        <w:rPr>
          <w:rFonts w:ascii="宋体" w:hAnsi="宋体" w:cs="方正小标宋简体"/>
          <w:sz w:val="32"/>
          <w:szCs w:val="32"/>
        </w:rPr>
        <w:t>201</w:t>
      </w:r>
      <w:r>
        <w:rPr>
          <w:rFonts w:hint="eastAsia" w:ascii="宋体" w:hAnsi="宋体" w:cs="方正小标宋简体"/>
          <w:sz w:val="32"/>
          <w:szCs w:val="32"/>
        </w:rPr>
        <w:t>9年</w:t>
      </w:r>
      <w:r>
        <w:rPr>
          <w:rFonts w:hint="eastAsia" w:ascii="宋体" w:hAnsi="宋体" w:cs="宋体"/>
          <w:color w:val="000000"/>
          <w:sz w:val="32"/>
          <w:szCs w:val="32"/>
        </w:rPr>
        <w:t>教辅、后勤人员劳务费</w:t>
      </w:r>
      <w:r>
        <w:rPr>
          <w:rFonts w:hint="eastAsia" w:ascii="宋体" w:hAnsi="宋体" w:cs="方正小标宋简体"/>
          <w:sz w:val="32"/>
          <w:szCs w:val="32"/>
        </w:rPr>
        <w:t>项目支出绩效</w:t>
      </w:r>
    </w:p>
    <w:p>
      <w:pPr>
        <w:spacing w:line="580" w:lineRule="exact"/>
        <w:jc w:val="center"/>
        <w:rPr>
          <w:rFonts w:ascii="宋体" w:cs="方正小标宋简体"/>
          <w:sz w:val="32"/>
          <w:szCs w:val="32"/>
        </w:rPr>
      </w:pPr>
      <w:r>
        <w:rPr>
          <w:rFonts w:hint="eastAsia" w:ascii="宋体" w:hAnsi="宋体" w:cs="方正小标宋简体"/>
          <w:sz w:val="32"/>
          <w:szCs w:val="32"/>
        </w:rPr>
        <w:t>评价报告</w:t>
      </w:r>
    </w:p>
    <w:p>
      <w:pPr>
        <w:spacing w:line="580" w:lineRule="exact"/>
        <w:ind w:firstLine="600" w:firstLineChars="200"/>
        <w:rPr>
          <w:rFonts w:ascii="宋体" w:cs="仿宋_GB2312"/>
          <w:sz w:val="30"/>
          <w:szCs w:val="30"/>
        </w:rPr>
      </w:pP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一、评价工作开展及项目情况</w:t>
      </w:r>
    </w:p>
    <w:p>
      <w:pPr>
        <w:ind w:firstLine="600" w:firstLineChars="200"/>
        <w:rPr>
          <w:rFonts w:ascii="仿宋" w:hAnsi="仿宋" w:eastAsia="仿宋" w:cs="仿宋"/>
          <w:sz w:val="30"/>
          <w:szCs w:val="30"/>
        </w:rPr>
      </w:pPr>
      <w:r>
        <w:rPr>
          <w:rFonts w:hint="eastAsia" w:ascii="仿宋" w:hAnsi="仿宋" w:eastAsia="仿宋" w:cs="仿宋"/>
          <w:sz w:val="30"/>
          <w:szCs w:val="30"/>
        </w:rPr>
        <w:t>做好项目前期准备工作，全面改善学校办学条件，提升办学水平，推进教育持续健康发展。</w:t>
      </w:r>
    </w:p>
    <w:p>
      <w:pPr>
        <w:rPr>
          <w:rFonts w:ascii="仿宋" w:hAnsi="仿宋" w:eastAsia="仿宋" w:cs="仿宋"/>
          <w:sz w:val="30"/>
          <w:szCs w:val="30"/>
        </w:rPr>
      </w:pPr>
      <w:r>
        <w:rPr>
          <w:rFonts w:hint="eastAsia" w:ascii="仿宋" w:hAnsi="仿宋" w:eastAsia="仿宋" w:cs="仿宋"/>
          <w:sz w:val="30"/>
          <w:szCs w:val="30"/>
        </w:rPr>
        <w:t>二、评价结论及绩效分析</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（一）评价结论</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（二）绩效分析</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1、项目决策</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项目成本（预算）使用合理，无超支。项目的实施进度按规定时间完成工作量。</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2、项目管理</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项目资金管理情况分析学校按月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3、项目绩效</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2019年</w:t>
      </w:r>
      <w:r>
        <w:rPr>
          <w:rFonts w:hint="eastAsia" w:ascii="仿宋" w:hAnsi="仿宋" w:eastAsia="仿宋" w:cs="仿宋"/>
          <w:color w:val="000000"/>
          <w:sz w:val="30"/>
          <w:szCs w:val="30"/>
        </w:rPr>
        <w:t>教辅、后勤人员劳务费</w:t>
      </w:r>
      <w:r>
        <w:rPr>
          <w:rFonts w:hint="eastAsia" w:ascii="仿宋" w:hAnsi="仿宋" w:eastAsia="仿宋" w:cs="仿宋"/>
          <w:sz w:val="30"/>
          <w:szCs w:val="30"/>
        </w:rPr>
        <w:t>项目资金，到位及时，达到预期绩效目标要求。这是件有利于民生的大好事，是一项关心老百姓、深得民心的好项目，该项工作应当继续深化开展。</w:t>
      </w:r>
    </w:p>
    <w:p>
      <w:pPr>
        <w:numPr>
          <w:ilvl w:val="0"/>
          <w:numId w:val="3"/>
        </w:numPr>
        <w:spacing w:line="580" w:lineRule="exact"/>
        <w:rPr>
          <w:rFonts w:ascii="仿宋" w:hAnsi="仿宋" w:eastAsia="仿宋" w:cs="仿宋"/>
          <w:sz w:val="30"/>
          <w:szCs w:val="30"/>
        </w:rPr>
      </w:pPr>
      <w:r>
        <w:rPr>
          <w:rFonts w:hint="eastAsia" w:ascii="仿宋" w:hAnsi="仿宋" w:eastAsia="仿宋" w:cs="仿宋"/>
          <w:sz w:val="30"/>
          <w:szCs w:val="30"/>
        </w:rPr>
        <w:t>存在主要问题</w:t>
      </w:r>
    </w:p>
    <w:p>
      <w:pPr>
        <w:spacing w:line="580" w:lineRule="exact"/>
        <w:ind w:left="640" w:leftChars="305" w:firstLine="600" w:firstLineChars="200"/>
        <w:rPr>
          <w:rFonts w:ascii="仿宋" w:hAnsi="仿宋" w:eastAsia="仿宋" w:cs="仿宋"/>
          <w:sz w:val="30"/>
          <w:szCs w:val="30"/>
        </w:rPr>
      </w:pPr>
      <w:r>
        <w:rPr>
          <w:rFonts w:hint="eastAsia" w:ascii="仿宋" w:hAnsi="仿宋" w:eastAsia="仿宋" w:cs="仿宋"/>
          <w:sz w:val="30"/>
          <w:szCs w:val="30"/>
        </w:rPr>
        <w:t>资金太少，望上级有关部门加大资金扶持力度，全面改善学前教育办学条件。</w:t>
      </w:r>
    </w:p>
    <w:p>
      <w:pPr>
        <w:numPr>
          <w:ilvl w:val="0"/>
          <w:numId w:val="3"/>
        </w:numPr>
        <w:spacing w:line="580" w:lineRule="exact"/>
        <w:rPr>
          <w:rFonts w:ascii="仿宋" w:hAnsi="仿宋" w:eastAsia="仿宋" w:cs="仿宋"/>
          <w:sz w:val="30"/>
          <w:szCs w:val="30"/>
        </w:rPr>
      </w:pPr>
      <w:r>
        <w:rPr>
          <w:rFonts w:hint="eastAsia" w:ascii="仿宋" w:hAnsi="仿宋" w:eastAsia="仿宋" w:cs="仿宋"/>
          <w:sz w:val="30"/>
          <w:szCs w:val="30"/>
        </w:rPr>
        <w:t>相关措施建议</w:t>
      </w:r>
    </w:p>
    <w:p>
      <w:pPr>
        <w:spacing w:line="580" w:lineRule="exact"/>
        <w:ind w:left="640" w:leftChars="305" w:firstLine="600" w:firstLineChars="200"/>
        <w:rPr>
          <w:rStyle w:val="24"/>
          <w:rFonts w:ascii="仿宋" w:hAnsi="仿宋" w:eastAsia="仿宋" w:cs="仿宋"/>
          <w:b w:val="0"/>
          <w:bCs w:val="0"/>
          <w:sz w:val="30"/>
          <w:szCs w:val="30"/>
        </w:rPr>
      </w:pPr>
      <w:r>
        <w:rPr>
          <w:rFonts w:hint="eastAsia" w:ascii="仿宋" w:hAnsi="仿宋" w:eastAsia="仿宋" w:cs="仿宋"/>
          <w:sz w:val="30"/>
          <w:szCs w:val="30"/>
        </w:rPr>
        <w:t>2019年度</w:t>
      </w:r>
      <w:r>
        <w:rPr>
          <w:rFonts w:hint="eastAsia" w:ascii="仿宋" w:hAnsi="仿宋" w:eastAsia="仿宋" w:cs="仿宋"/>
          <w:color w:val="000000"/>
          <w:sz w:val="30"/>
          <w:szCs w:val="30"/>
        </w:rPr>
        <w:t>教辅、后勤人员劳务费</w:t>
      </w:r>
      <w:r>
        <w:rPr>
          <w:rFonts w:hint="eastAsia" w:ascii="仿宋" w:hAnsi="仿宋" w:eastAsia="仿宋" w:cs="仿宋"/>
          <w:sz w:val="30"/>
          <w:szCs w:val="30"/>
        </w:rPr>
        <w:t>项目的实施，为我校幼儿教育的发展提供了有力的保障。因而这项工作得到广泛支持。问题工程手续办理慢，影响了工程进度。建议：简化工程手续；加大资金投入，全面改善教育办学条件。</w:t>
      </w:r>
    </w:p>
    <w:p>
      <w:pPr>
        <w:spacing w:line="600" w:lineRule="exact"/>
        <w:jc w:val="center"/>
        <w:outlineLvl w:val="0"/>
        <w:rPr>
          <w:rFonts w:ascii="仿宋" w:hAnsi="仿宋" w:eastAsia="仿宋" w:cs="仿宋"/>
          <w:sz w:val="30"/>
          <w:szCs w:val="30"/>
        </w:rPr>
      </w:pPr>
    </w:p>
    <w:p>
      <w:pPr>
        <w:spacing w:line="600" w:lineRule="exact"/>
        <w:jc w:val="center"/>
        <w:outlineLvl w:val="0"/>
        <w:rPr>
          <w:rStyle w:val="24"/>
          <w:rFonts w:ascii="黑体" w:hAnsi="黑体" w:eastAsia="黑体"/>
          <w:b w:val="0"/>
        </w:rPr>
      </w:pPr>
    </w:p>
    <w:p>
      <w:pPr>
        <w:spacing w:line="600" w:lineRule="exact"/>
        <w:jc w:val="center"/>
        <w:outlineLvl w:val="0"/>
        <w:rPr>
          <w:rFonts w:ascii="黑体" w:hAnsi="黑体" w:eastAsia="黑体"/>
          <w:color w:val="000000"/>
          <w:sz w:val="44"/>
          <w:szCs w:val="44"/>
        </w:rPr>
      </w:pPr>
      <w:bookmarkStart w:id="60"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Style w:val="25"/>
          <w:rFonts w:ascii="仿宋" w:hAnsi="仿宋" w:eastAsia="仿宋"/>
          <w:b w:val="0"/>
          <w:bCs w:val="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2E03"/>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2448"/>
    <w:rsid w:val="001D7531"/>
    <w:rsid w:val="001E737D"/>
    <w:rsid w:val="001F0592"/>
    <w:rsid w:val="001F7506"/>
    <w:rsid w:val="002006CD"/>
    <w:rsid w:val="00202B36"/>
    <w:rsid w:val="00204B7A"/>
    <w:rsid w:val="00204CDE"/>
    <w:rsid w:val="0021101A"/>
    <w:rsid w:val="00220536"/>
    <w:rsid w:val="002274CF"/>
    <w:rsid w:val="00235629"/>
    <w:rsid w:val="00260C38"/>
    <w:rsid w:val="002616C0"/>
    <w:rsid w:val="00265372"/>
    <w:rsid w:val="002662AA"/>
    <w:rsid w:val="00280496"/>
    <w:rsid w:val="002915C0"/>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019A"/>
    <w:rsid w:val="00406254"/>
    <w:rsid w:val="00416CD4"/>
    <w:rsid w:val="004223DE"/>
    <w:rsid w:val="00434489"/>
    <w:rsid w:val="00437085"/>
    <w:rsid w:val="00443880"/>
    <w:rsid w:val="004464F4"/>
    <w:rsid w:val="00471401"/>
    <w:rsid w:val="00473F31"/>
    <w:rsid w:val="0048263A"/>
    <w:rsid w:val="00487E5D"/>
    <w:rsid w:val="004A711F"/>
    <w:rsid w:val="004B199D"/>
    <w:rsid w:val="004B31CA"/>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0065"/>
    <w:rsid w:val="006A3141"/>
    <w:rsid w:val="006A5E34"/>
    <w:rsid w:val="006B2422"/>
    <w:rsid w:val="006B2B9A"/>
    <w:rsid w:val="006C1937"/>
    <w:rsid w:val="006F020C"/>
    <w:rsid w:val="007127B7"/>
    <w:rsid w:val="0071798E"/>
    <w:rsid w:val="00727533"/>
    <w:rsid w:val="007416B6"/>
    <w:rsid w:val="00746F48"/>
    <w:rsid w:val="0075404D"/>
    <w:rsid w:val="00754A6E"/>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2D85"/>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7712"/>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6D87"/>
    <w:rsid w:val="00CE7B61"/>
    <w:rsid w:val="00D00095"/>
    <w:rsid w:val="00D114F0"/>
    <w:rsid w:val="00D20620"/>
    <w:rsid w:val="00D254F7"/>
    <w:rsid w:val="00D26091"/>
    <w:rsid w:val="00D2685C"/>
    <w:rsid w:val="00D34E7C"/>
    <w:rsid w:val="00D35489"/>
    <w:rsid w:val="00D36AFE"/>
    <w:rsid w:val="00D3765D"/>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6EB3"/>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468DB"/>
    <w:rsid w:val="00F602DF"/>
    <w:rsid w:val="00F754A1"/>
    <w:rsid w:val="00F81FD9"/>
    <w:rsid w:val="00F8285F"/>
    <w:rsid w:val="00F841AA"/>
    <w:rsid w:val="00F84A94"/>
    <w:rsid w:val="00F85F44"/>
    <w:rsid w:val="00F87E96"/>
    <w:rsid w:val="00FA23E8"/>
    <w:rsid w:val="00FD3CC1"/>
    <w:rsid w:val="00FF1E02"/>
    <w:rsid w:val="00FF30B4"/>
    <w:rsid w:val="02871D93"/>
    <w:rsid w:val="05334DAA"/>
    <w:rsid w:val="066C6153"/>
    <w:rsid w:val="067C0273"/>
    <w:rsid w:val="07584C4F"/>
    <w:rsid w:val="07714A20"/>
    <w:rsid w:val="07C9395E"/>
    <w:rsid w:val="0A70243F"/>
    <w:rsid w:val="0CD51610"/>
    <w:rsid w:val="0D9C563B"/>
    <w:rsid w:val="0E103D50"/>
    <w:rsid w:val="0F6D22EA"/>
    <w:rsid w:val="10C055FF"/>
    <w:rsid w:val="12DD744B"/>
    <w:rsid w:val="15973136"/>
    <w:rsid w:val="16BB723D"/>
    <w:rsid w:val="1A0E6E90"/>
    <w:rsid w:val="1A3A4F2A"/>
    <w:rsid w:val="1A75548E"/>
    <w:rsid w:val="1D1F65E4"/>
    <w:rsid w:val="1E7D1C68"/>
    <w:rsid w:val="1F737430"/>
    <w:rsid w:val="202C7F6F"/>
    <w:rsid w:val="235465E1"/>
    <w:rsid w:val="240371BF"/>
    <w:rsid w:val="25815E64"/>
    <w:rsid w:val="269825F8"/>
    <w:rsid w:val="29B009A9"/>
    <w:rsid w:val="29B736E3"/>
    <w:rsid w:val="29DC5757"/>
    <w:rsid w:val="29FC7B77"/>
    <w:rsid w:val="29FD04D3"/>
    <w:rsid w:val="2A1451CD"/>
    <w:rsid w:val="2BD35866"/>
    <w:rsid w:val="2CF81D23"/>
    <w:rsid w:val="2E1A1766"/>
    <w:rsid w:val="2EEF4DC0"/>
    <w:rsid w:val="30BF426A"/>
    <w:rsid w:val="319F7F4E"/>
    <w:rsid w:val="344A35EA"/>
    <w:rsid w:val="38284585"/>
    <w:rsid w:val="38624E27"/>
    <w:rsid w:val="390830D1"/>
    <w:rsid w:val="396B6D65"/>
    <w:rsid w:val="39B35DC1"/>
    <w:rsid w:val="3D793AA5"/>
    <w:rsid w:val="3F291375"/>
    <w:rsid w:val="40475576"/>
    <w:rsid w:val="40DA2ED1"/>
    <w:rsid w:val="41FE2928"/>
    <w:rsid w:val="45377EEF"/>
    <w:rsid w:val="45497277"/>
    <w:rsid w:val="46697ED5"/>
    <w:rsid w:val="488F3A77"/>
    <w:rsid w:val="4D740B46"/>
    <w:rsid w:val="4D9210FD"/>
    <w:rsid w:val="4ECE2238"/>
    <w:rsid w:val="55510798"/>
    <w:rsid w:val="56675134"/>
    <w:rsid w:val="59385E8D"/>
    <w:rsid w:val="59BD5794"/>
    <w:rsid w:val="5C752BCA"/>
    <w:rsid w:val="5F2A3678"/>
    <w:rsid w:val="60421300"/>
    <w:rsid w:val="60FA52B4"/>
    <w:rsid w:val="627063E6"/>
    <w:rsid w:val="62BB40D0"/>
    <w:rsid w:val="62D17793"/>
    <w:rsid w:val="6404357A"/>
    <w:rsid w:val="6583384C"/>
    <w:rsid w:val="68B87E21"/>
    <w:rsid w:val="69563BB5"/>
    <w:rsid w:val="6A3021DF"/>
    <w:rsid w:val="6A9812D7"/>
    <w:rsid w:val="6CE6088E"/>
    <w:rsid w:val="6F325375"/>
    <w:rsid w:val="70246973"/>
    <w:rsid w:val="72734D90"/>
    <w:rsid w:val="741B0256"/>
    <w:rsid w:val="76875E58"/>
    <w:rsid w:val="76925DD1"/>
    <w:rsid w:val="7D145421"/>
    <w:rsid w:val="7DC31DC6"/>
    <w:rsid w:val="7E033109"/>
    <w:rsid w:val="7E8674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21"/>
    <w:basedOn w:val="13"/>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81C75F-267B-4635-91D4-4D3972F2176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1787</Words>
  <Characters>10191</Characters>
  <Lines>84</Lines>
  <Paragraphs>23</Paragraphs>
  <TotalTime>119</TotalTime>
  <ScaleCrop>false</ScaleCrop>
  <LinksUpToDate>false</LinksUpToDate>
  <CharactersWithSpaces>11955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工作</cp:lastModifiedBy>
  <cp:lastPrinted>2020-07-23T02:58:00Z</cp:lastPrinted>
  <dcterms:modified xsi:type="dcterms:W3CDTF">2020-10-19T02:25:49Z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