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eastAsia="方正小标宋简体"/>
          <w:kern w:val="0"/>
          <w:sz w:val="44"/>
          <w:szCs w:val="44"/>
        </w:rPr>
      </w:pPr>
      <w:bookmarkStart w:id="0" w:name="_GoBack"/>
      <w:r>
        <w:rPr>
          <w:rFonts w:hint="eastAsia" w:ascii="方正小标宋简体" w:eastAsia="方正小标宋简体"/>
          <w:kern w:val="0"/>
          <w:sz w:val="44"/>
          <w:szCs w:val="44"/>
        </w:rPr>
        <w:t>攀枝花市仁和区2019年度水土保持目标</w:t>
      </w:r>
    </w:p>
    <w:p>
      <w:pPr>
        <w:widowControl/>
        <w:spacing w:line="56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责任制考评细则</w:t>
      </w:r>
    </w:p>
    <w:bookmarkEnd w:id="0"/>
    <w:p>
      <w:pPr>
        <w:widowControl/>
        <w:spacing w:line="560" w:lineRule="exact"/>
        <w:jc w:val="center"/>
        <w:rPr>
          <w:rFonts w:hint="eastAsia" w:ascii="方正楷体_GBK" w:eastAsia="方正楷体_GBK"/>
          <w:b/>
          <w:kern w:val="0"/>
          <w:sz w:val="36"/>
          <w:szCs w:val="36"/>
        </w:rPr>
      </w:pPr>
      <w:r>
        <w:rPr>
          <w:rFonts w:hint="eastAsia" w:ascii="方正楷体_GBK" w:eastAsia="方正楷体_GBK"/>
          <w:b/>
          <w:kern w:val="0"/>
          <w:sz w:val="36"/>
          <w:szCs w:val="36"/>
        </w:rPr>
        <w:t>（征求意见稿）</w:t>
      </w:r>
    </w:p>
    <w:p>
      <w:pPr>
        <w:widowControl/>
        <w:spacing w:line="560" w:lineRule="exact"/>
        <w:ind w:firstLine="279" w:firstLineChars="133"/>
        <w:jc w:val="left"/>
        <w:rPr>
          <w:szCs w:val="32"/>
        </w:rPr>
      </w:pPr>
      <w:r>
        <w:rPr>
          <w:szCs w:val="32"/>
        </w:rPr>
        <w:t xml:space="preserve"> </w:t>
      </w:r>
    </w:p>
    <w:p>
      <w:pPr>
        <w:widowControl/>
        <w:spacing w:line="560" w:lineRule="exact"/>
        <w:ind w:firstLine="425" w:firstLineChars="133"/>
        <w:jc w:val="left"/>
        <w:rPr>
          <w:rFonts w:ascii="Times New Roman" w:hAnsi="Times New Roman" w:eastAsia="方正仿宋_GBK"/>
          <w:sz w:val="32"/>
          <w:szCs w:val="32"/>
        </w:rPr>
      </w:pPr>
      <w:r>
        <w:rPr>
          <w:rFonts w:ascii="Times New Roman" w:hAnsi="Times New Roman" w:eastAsia="方正仿宋_GBK"/>
          <w:sz w:val="32"/>
          <w:szCs w:val="32"/>
        </w:rPr>
        <w:t xml:space="preserve"> 按照《攀枝花市仁和区年度目标绩效管理办法》《攀枝花市区级目标绩效考评特殊情况加扣分标准》《四川省人民政府办公厅关于印发四川省水土保持目标责任制考核办法的通知》等制度规定和《攀枝花市仁和区2019年度区级综合目标任务实施方案》考评责任分工，结合我区水土保持工作实际，特制定本考评细则。</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w:t>
      </w:r>
      <w:r>
        <w:rPr>
          <w:rFonts w:hint="eastAsia" w:ascii="方正黑体_GBK" w:hAnsi="Times New Roman" w:eastAsia="方正黑体_GBK"/>
          <w:sz w:val="32"/>
          <w:szCs w:val="32"/>
        </w:rPr>
        <w:t>一、考评对象</w:t>
      </w:r>
    </w:p>
    <w:p>
      <w:pPr>
        <w:widowControl/>
        <w:spacing w:line="56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各乡镇人民政府</w:t>
      </w:r>
      <w:r>
        <w:rPr>
          <w:rFonts w:hint="eastAsia" w:ascii="Times New Roman" w:hAnsi="Times New Roman" w:eastAsia="方正仿宋_GBK"/>
          <w:sz w:val="32"/>
          <w:szCs w:val="32"/>
        </w:rPr>
        <w:t>、南管委。</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w:t>
      </w:r>
      <w:r>
        <w:rPr>
          <w:rFonts w:ascii="方正黑体_GBK" w:hAnsi="Times New Roman" w:eastAsia="方正黑体_GBK"/>
          <w:sz w:val="32"/>
          <w:szCs w:val="32"/>
        </w:rPr>
        <w:t>二、考评内容</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详见附件《水土保持工作年度目标任务责任分工及考评计分规则》。</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w:t>
      </w:r>
      <w:r>
        <w:rPr>
          <w:rFonts w:ascii="方正黑体_GBK" w:hAnsi="Times New Roman" w:eastAsia="方正黑体_GBK"/>
          <w:sz w:val="32"/>
          <w:szCs w:val="32"/>
        </w:rPr>
        <w:t>三、评分标准</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水土保持工作纳入对乡镇综合目标考评总分1分（按百分制折算）。具体计分规则见附件《水土保持工作年度目标任务责任分工及考评计分规则》。</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w:t>
      </w:r>
      <w:r>
        <w:rPr>
          <w:rFonts w:ascii="方正黑体_GBK" w:hAnsi="Times New Roman" w:eastAsia="方正黑体_GBK"/>
          <w:sz w:val="32"/>
          <w:szCs w:val="32"/>
        </w:rPr>
        <w:t>四、考评程序</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一）日常考评。仁和区水土保持领导小组办公室(区水利局)对照计分规则，结合各被考评乡镇目标任务的推进情况开展日常考评。因工作不力被区水土保持领导小组及区级以上通报批评的，报区督查办，按《攀枝花市仁和区区级目标绩效考评特殊情况加扣分标准》相关规定进行考评扣分。</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（二）年终考评。年终，各被考评乡镇对照本乡镇水土保持工作开展情况，进行自查和评分，填写《水土保持工作年终考评自查评分表》，于12月</w:t>
      </w:r>
      <w:r>
        <w:rPr>
          <w:rFonts w:hint="eastAsia" w:ascii="Times New Roman" w:hAnsi="Times New Roman" w:eastAsia="方正仿宋_GBK"/>
          <w:sz w:val="32"/>
          <w:szCs w:val="32"/>
        </w:rPr>
        <w:t>25</w:t>
      </w:r>
      <w:r>
        <w:rPr>
          <w:rFonts w:ascii="Times New Roman" w:hAnsi="Times New Roman" w:eastAsia="方正仿宋_GBK"/>
          <w:sz w:val="32"/>
          <w:szCs w:val="32"/>
        </w:rPr>
        <w:t>日前报区水土保持领导小组办公室（区水利局）；区水土保持领导小组办公室对照分解给各乡镇的年度目标任务和计分规则，结合各被考评乡镇的自查情况和对被考评乡镇的日常考评情况，进行年终考评评分。</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w:t>
      </w:r>
      <w:r>
        <w:rPr>
          <w:rFonts w:ascii="方正黑体_GBK" w:hAnsi="Times New Roman" w:eastAsia="方正黑体_GBK"/>
          <w:sz w:val="32"/>
          <w:szCs w:val="32"/>
        </w:rPr>
        <w:t>五、考评结果运用</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年终考评结果报区督查办进行统一公示后，计入单位年度综合目标绩效考评得分。</w:t>
      </w:r>
    </w:p>
    <w:p>
      <w:pPr>
        <w:widowControl/>
        <w:ind w:firstLine="640" w:firstLineChars="200"/>
        <w:jc w:val="left"/>
        <w:rPr>
          <w:rFonts w:ascii="Times New Roman" w:hAnsi="Times New Roman" w:eastAsia="方正仿宋_GBK"/>
          <w:sz w:val="32"/>
          <w:szCs w:val="32"/>
        </w:rPr>
      </w:pPr>
    </w:p>
    <w:p>
      <w:pPr>
        <w:widowControl/>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附件</w:t>
      </w:r>
      <w:r>
        <w:rPr>
          <w:rFonts w:hint="eastAsia" w:ascii="Times New Roman" w:hAnsi="Times New Roman" w:eastAsia="方正仿宋_GBK"/>
          <w:sz w:val="32"/>
          <w:szCs w:val="32"/>
        </w:rPr>
        <w:t>：</w:t>
      </w:r>
      <w:r>
        <w:rPr>
          <w:rFonts w:ascii="Times New Roman" w:hAnsi="Times New Roman" w:eastAsia="方正仿宋_GBK"/>
          <w:sz w:val="32"/>
          <w:szCs w:val="32"/>
        </w:rPr>
        <w:t>水土保持工作年度目标任务责任分工及考评计分规则</w:t>
      </w:r>
    </w:p>
    <w:p>
      <w:pPr>
        <w:widowControl/>
        <w:ind w:firstLine="640" w:firstLineChars="200"/>
        <w:jc w:val="left"/>
        <w:rPr>
          <w:rFonts w:ascii="Times New Roman" w:hAnsi="Times New Roman" w:eastAsia="方正仿宋_GBK"/>
          <w:sz w:val="32"/>
          <w:szCs w:val="32"/>
        </w:rPr>
      </w:pPr>
    </w:p>
    <w:p>
      <w:pPr>
        <w:widowControl/>
        <w:ind w:firstLine="640" w:firstLineChars="200"/>
        <w:jc w:val="left"/>
        <w:rPr>
          <w:rFonts w:ascii="Times New Roman" w:hAnsi="Times New Roman" w:eastAsia="方正仿宋_GBK"/>
          <w:sz w:val="32"/>
          <w:szCs w:val="32"/>
        </w:rPr>
      </w:pPr>
    </w:p>
    <w:p>
      <w:pPr>
        <w:widowControl/>
        <w:ind w:firstLine="640" w:firstLineChars="200"/>
        <w:jc w:val="left"/>
        <w:rPr>
          <w:rFonts w:ascii="Times New Roman" w:hAnsi="Times New Roman" w:eastAsia="方正仿宋_GBK"/>
          <w:sz w:val="32"/>
          <w:szCs w:val="32"/>
        </w:rPr>
      </w:pPr>
    </w:p>
    <w:p>
      <w:pPr>
        <w:rPr>
          <w:rFonts w:eastAsia="方正黑体_GBK"/>
          <w:sz w:val="33"/>
          <w:szCs w:val="33"/>
        </w:rPr>
      </w:pPr>
    </w:p>
    <w:p>
      <w:pPr>
        <w:rPr>
          <w:rFonts w:eastAsia="方正黑体_GBK"/>
          <w:sz w:val="33"/>
          <w:szCs w:val="33"/>
        </w:rPr>
      </w:pPr>
    </w:p>
    <w:p>
      <w:pPr>
        <w:rPr>
          <w:rFonts w:eastAsia="方正黑体_GBK"/>
          <w:sz w:val="33"/>
          <w:szCs w:val="33"/>
        </w:rPr>
      </w:pPr>
    </w:p>
    <w:p>
      <w:pPr>
        <w:rPr>
          <w:rFonts w:eastAsia="方正黑体_GBK"/>
          <w:sz w:val="33"/>
          <w:szCs w:val="33"/>
        </w:rPr>
        <w:sectPr>
          <w:footerReference r:id="rId6" w:type="first"/>
          <w:headerReference r:id="rId3" w:type="default"/>
          <w:footerReference r:id="rId4" w:type="default"/>
          <w:footerReference r:id="rId5" w:type="even"/>
          <w:pgSz w:w="11906" w:h="16838"/>
          <w:pgMar w:top="2098" w:right="1474" w:bottom="1985" w:left="1588" w:header="907" w:footer="1215" w:gutter="0"/>
          <w:cols w:space="720" w:num="1"/>
          <w:docGrid w:type="lines" w:linePitch="576" w:charSpace="4127"/>
        </w:sectPr>
      </w:pPr>
    </w:p>
    <w:p>
      <w:pPr>
        <w:rPr>
          <w:rFonts w:hint="eastAsia" w:ascii="方正仿宋_GBK" w:eastAsia="方正仿宋_GBK"/>
          <w:sz w:val="32"/>
          <w:szCs w:val="32"/>
        </w:rPr>
      </w:pPr>
      <w:r>
        <w:rPr>
          <w:rFonts w:hint="eastAsia" w:ascii="方正仿宋_GBK" w:eastAsia="方正仿宋_GBK"/>
          <w:sz w:val="32"/>
          <w:szCs w:val="32"/>
        </w:rPr>
        <w:t>附件</w:t>
      </w:r>
    </w:p>
    <w:p>
      <w:pPr>
        <w:rPr>
          <w:rFonts w:eastAsia="黑体"/>
          <w:szCs w:val="32"/>
        </w:rPr>
      </w:pPr>
    </w:p>
    <w:p>
      <w:pPr>
        <w:spacing w:line="0" w:lineRule="atLeast"/>
        <w:jc w:val="center"/>
        <w:rPr>
          <w:rFonts w:ascii="Times New Roman" w:hAnsi="Times New Roman" w:eastAsia="方正小标宋_GBK"/>
          <w:sz w:val="36"/>
          <w:szCs w:val="36"/>
        </w:rPr>
      </w:pPr>
      <w:r>
        <w:rPr>
          <w:rFonts w:ascii="Times New Roman" w:eastAsia="方正小标宋_GBK"/>
          <w:sz w:val="36"/>
          <w:szCs w:val="36"/>
        </w:rPr>
        <w:t>仁和区水土保持工作</w:t>
      </w:r>
      <w:r>
        <w:rPr>
          <w:rFonts w:ascii="Times New Roman" w:hAnsi="Times New Roman" w:eastAsia="方正小标宋_GBK"/>
          <w:sz w:val="36"/>
          <w:szCs w:val="36"/>
        </w:rPr>
        <w:t>2019</w:t>
      </w:r>
      <w:r>
        <w:rPr>
          <w:rFonts w:ascii="Times New Roman" w:eastAsia="方正小标宋_GBK"/>
          <w:sz w:val="36"/>
          <w:szCs w:val="36"/>
        </w:rPr>
        <w:t>年度目标任务考评计分规则（乡镇、南管委）</w:t>
      </w:r>
    </w:p>
    <w:p>
      <w:pPr>
        <w:spacing w:line="0" w:lineRule="atLeast"/>
        <w:jc w:val="center"/>
        <w:rPr>
          <w:rFonts w:eastAsia="方正小标宋_GBK"/>
          <w:sz w:val="44"/>
          <w:szCs w:val="44"/>
        </w:rPr>
      </w:pPr>
    </w:p>
    <w:tbl>
      <w:tblPr>
        <w:tblStyle w:val="7"/>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57"/>
        <w:gridCol w:w="429"/>
        <w:gridCol w:w="3743"/>
        <w:gridCol w:w="3083"/>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250" w:type="pct"/>
            <w:vAlign w:val="center"/>
          </w:tcPr>
          <w:p>
            <w:pPr>
              <w:spacing w:line="0" w:lineRule="atLeast"/>
              <w:jc w:val="center"/>
              <w:rPr>
                <w:rFonts w:hint="eastAsia" w:eastAsia="黑体"/>
                <w:szCs w:val="21"/>
              </w:rPr>
            </w:pPr>
            <w:r>
              <w:rPr>
                <w:rFonts w:hint="eastAsia" w:eastAsia="黑体"/>
                <w:szCs w:val="21"/>
              </w:rPr>
              <w:t>序号</w:t>
            </w:r>
          </w:p>
        </w:tc>
        <w:tc>
          <w:tcPr>
            <w:tcW w:w="486" w:type="pct"/>
            <w:vAlign w:val="center"/>
          </w:tcPr>
          <w:p>
            <w:pPr>
              <w:spacing w:line="0" w:lineRule="atLeast"/>
              <w:jc w:val="center"/>
              <w:rPr>
                <w:rFonts w:hint="eastAsia" w:eastAsia="黑体"/>
                <w:szCs w:val="21"/>
              </w:rPr>
            </w:pPr>
            <w:r>
              <w:rPr>
                <w:rFonts w:hint="eastAsia" w:eastAsia="黑体"/>
                <w:szCs w:val="21"/>
              </w:rPr>
              <w:t>考核指标</w:t>
            </w:r>
          </w:p>
        </w:tc>
        <w:tc>
          <w:tcPr>
            <w:tcW w:w="253" w:type="pct"/>
            <w:vAlign w:val="center"/>
          </w:tcPr>
          <w:p>
            <w:pPr>
              <w:spacing w:line="0" w:lineRule="atLeast"/>
              <w:jc w:val="center"/>
              <w:rPr>
                <w:rFonts w:hint="eastAsia" w:eastAsia="黑体"/>
                <w:szCs w:val="21"/>
              </w:rPr>
            </w:pPr>
            <w:r>
              <w:rPr>
                <w:rFonts w:hint="eastAsia" w:eastAsia="黑体"/>
                <w:szCs w:val="21"/>
              </w:rPr>
              <w:t>分值</w:t>
            </w:r>
          </w:p>
        </w:tc>
        <w:tc>
          <w:tcPr>
            <w:tcW w:w="2022" w:type="pct"/>
            <w:vAlign w:val="center"/>
          </w:tcPr>
          <w:p>
            <w:pPr>
              <w:spacing w:line="0" w:lineRule="atLeast"/>
              <w:jc w:val="center"/>
              <w:rPr>
                <w:rFonts w:hint="eastAsia" w:eastAsia="黑体"/>
                <w:szCs w:val="21"/>
              </w:rPr>
            </w:pPr>
            <w:r>
              <w:rPr>
                <w:rFonts w:hint="eastAsia" w:hAnsi="黑体" w:eastAsia="黑体"/>
                <w:szCs w:val="21"/>
              </w:rPr>
              <w:t>考核内容</w:t>
            </w:r>
          </w:p>
        </w:tc>
        <w:tc>
          <w:tcPr>
            <w:tcW w:w="1668" w:type="pct"/>
            <w:vAlign w:val="center"/>
          </w:tcPr>
          <w:p>
            <w:pPr>
              <w:spacing w:line="0" w:lineRule="atLeast"/>
              <w:jc w:val="center"/>
              <w:rPr>
                <w:rFonts w:eastAsia="黑体"/>
                <w:szCs w:val="21"/>
              </w:rPr>
            </w:pPr>
            <w:r>
              <w:rPr>
                <w:rFonts w:hAnsi="黑体" w:eastAsia="黑体"/>
                <w:szCs w:val="21"/>
              </w:rPr>
              <w:t>计分规则</w:t>
            </w:r>
          </w:p>
        </w:tc>
        <w:tc>
          <w:tcPr>
            <w:tcW w:w="128" w:type="pct"/>
            <w:vAlign w:val="center"/>
          </w:tcPr>
          <w:p>
            <w:pPr>
              <w:spacing w:line="0" w:lineRule="atLeast"/>
              <w:jc w:val="center"/>
              <w:rPr>
                <w:rFonts w:hint="eastAsia" w:eastAsia="黑体"/>
                <w:szCs w:val="21"/>
              </w:rPr>
            </w:pPr>
            <w:r>
              <w:rPr>
                <w:rFonts w:hint="eastAsia" w:eastAsia="黑体"/>
                <w:szCs w:val="21"/>
              </w:rPr>
              <w:t>自评分</w:t>
            </w:r>
          </w:p>
        </w:tc>
        <w:tc>
          <w:tcPr>
            <w:tcW w:w="193" w:type="pct"/>
            <w:vAlign w:val="center"/>
          </w:tcPr>
          <w:p>
            <w:pPr>
              <w:spacing w:line="0" w:lineRule="atLeast"/>
              <w:jc w:val="center"/>
              <w:rPr>
                <w:rFonts w:hint="eastAsia" w:eastAsia="黑体"/>
                <w:szCs w:val="21"/>
              </w:rPr>
            </w:pPr>
            <w:r>
              <w:rPr>
                <w:rFonts w:hint="eastAsia" w:eastAsia="黑体"/>
                <w:szCs w:val="21"/>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250" w:type="pct"/>
            <w:vAlign w:val="center"/>
          </w:tcPr>
          <w:p>
            <w:pPr>
              <w:spacing w:line="0" w:lineRule="atLeast"/>
              <w:jc w:val="left"/>
              <w:rPr>
                <w:rFonts w:hint="eastAsia"/>
                <w:szCs w:val="21"/>
              </w:rPr>
            </w:pPr>
            <w:r>
              <w:rPr>
                <w:rFonts w:hint="eastAsia"/>
                <w:szCs w:val="21"/>
              </w:rPr>
              <w:t>1</w:t>
            </w:r>
          </w:p>
        </w:tc>
        <w:tc>
          <w:tcPr>
            <w:tcW w:w="486" w:type="pct"/>
            <w:vAlign w:val="center"/>
          </w:tcPr>
          <w:p>
            <w:pPr>
              <w:spacing w:line="0" w:lineRule="atLeast"/>
              <w:jc w:val="left"/>
              <w:rPr>
                <w:rFonts w:hint="eastAsia"/>
                <w:szCs w:val="21"/>
              </w:rPr>
            </w:pPr>
            <w:r>
              <w:rPr>
                <w:rFonts w:hint="eastAsia"/>
                <w:szCs w:val="21"/>
              </w:rPr>
              <w:t>组织领导</w:t>
            </w:r>
          </w:p>
        </w:tc>
        <w:tc>
          <w:tcPr>
            <w:tcW w:w="253" w:type="pct"/>
            <w:vAlign w:val="center"/>
          </w:tcPr>
          <w:p>
            <w:pPr>
              <w:spacing w:line="0" w:lineRule="atLeast"/>
              <w:jc w:val="left"/>
              <w:rPr>
                <w:rFonts w:hint="eastAsia"/>
                <w:szCs w:val="21"/>
              </w:rPr>
            </w:pPr>
            <w:r>
              <w:rPr>
                <w:rFonts w:hint="eastAsia"/>
                <w:szCs w:val="21"/>
              </w:rPr>
              <w:t>30</w:t>
            </w:r>
          </w:p>
        </w:tc>
        <w:tc>
          <w:tcPr>
            <w:tcW w:w="2022" w:type="pct"/>
            <w:vAlign w:val="center"/>
          </w:tcPr>
          <w:p>
            <w:pPr>
              <w:spacing w:line="0" w:lineRule="atLeast"/>
              <w:rPr>
                <w:rFonts w:hint="eastAsia"/>
                <w:color w:val="000000"/>
                <w:szCs w:val="21"/>
              </w:rPr>
            </w:pPr>
            <w:r>
              <w:rPr>
                <w:szCs w:val="21"/>
              </w:rPr>
              <w:t>（1）</w:t>
            </w:r>
            <w:r>
              <w:rPr>
                <w:rFonts w:hint="eastAsia"/>
                <w:szCs w:val="21"/>
              </w:rPr>
              <w:t>成立水土保持工作</w:t>
            </w:r>
            <w:r>
              <w:rPr>
                <w:szCs w:val="21"/>
              </w:rPr>
              <w:t>机构。</w:t>
            </w:r>
            <w:r>
              <w:rPr>
                <w:rFonts w:hint="eastAsia"/>
                <w:szCs w:val="21"/>
              </w:rPr>
              <w:t>（10分）</w:t>
            </w:r>
          </w:p>
          <w:p>
            <w:pPr>
              <w:spacing w:line="0" w:lineRule="atLeast"/>
              <w:rPr>
                <w:rFonts w:hint="eastAsia"/>
                <w:szCs w:val="21"/>
              </w:rPr>
            </w:pPr>
            <w:r>
              <w:rPr>
                <w:szCs w:val="21"/>
              </w:rPr>
              <w:t>（2）工作机构队伍建设。</w:t>
            </w:r>
            <w:r>
              <w:rPr>
                <w:rFonts w:hint="eastAsia"/>
                <w:szCs w:val="21"/>
              </w:rPr>
              <w:t>（10分）</w:t>
            </w:r>
          </w:p>
          <w:p>
            <w:pPr>
              <w:spacing w:line="0" w:lineRule="atLeast"/>
              <w:rPr>
                <w:rFonts w:hint="eastAsia"/>
                <w:color w:val="000000"/>
                <w:kern w:val="0"/>
                <w:szCs w:val="21"/>
              </w:rPr>
            </w:pPr>
            <w:r>
              <w:rPr>
                <w:rFonts w:hint="eastAsia"/>
                <w:color w:val="000000"/>
                <w:kern w:val="0"/>
                <w:szCs w:val="21"/>
              </w:rPr>
              <w:t>（3）加强宣传，组织学习水土保持相关法律法规。（10分）</w:t>
            </w:r>
          </w:p>
          <w:p>
            <w:pPr>
              <w:spacing w:line="0" w:lineRule="atLeast"/>
              <w:rPr>
                <w:color w:val="000000"/>
                <w:szCs w:val="21"/>
              </w:rPr>
            </w:pPr>
          </w:p>
          <w:p>
            <w:pPr>
              <w:spacing w:line="0" w:lineRule="atLeast"/>
              <w:rPr>
                <w:color w:val="000000"/>
                <w:szCs w:val="21"/>
              </w:rPr>
            </w:pPr>
          </w:p>
        </w:tc>
        <w:tc>
          <w:tcPr>
            <w:tcW w:w="1668" w:type="pct"/>
            <w:vAlign w:val="center"/>
          </w:tcPr>
          <w:p>
            <w:pPr>
              <w:spacing w:line="0" w:lineRule="atLeast"/>
              <w:rPr>
                <w:color w:val="000000"/>
                <w:kern w:val="0"/>
                <w:szCs w:val="21"/>
              </w:rPr>
            </w:pPr>
            <w:r>
              <w:rPr>
                <w:color w:val="000000"/>
                <w:kern w:val="0"/>
                <w:szCs w:val="21"/>
              </w:rPr>
              <w:t>（1）</w:t>
            </w:r>
            <w:r>
              <w:rPr>
                <w:rFonts w:hint="eastAsia"/>
                <w:color w:val="000000"/>
                <w:kern w:val="0"/>
                <w:szCs w:val="21"/>
              </w:rPr>
              <w:t>有工作机构，并明确分工</w:t>
            </w:r>
            <w:r>
              <w:rPr>
                <w:color w:val="000000"/>
                <w:kern w:val="0"/>
                <w:szCs w:val="21"/>
              </w:rPr>
              <w:t>（</w:t>
            </w:r>
            <w:r>
              <w:rPr>
                <w:rFonts w:hint="eastAsia"/>
                <w:color w:val="000000"/>
                <w:kern w:val="0"/>
                <w:szCs w:val="21"/>
              </w:rPr>
              <w:t>10</w:t>
            </w:r>
            <w:r>
              <w:rPr>
                <w:color w:val="000000"/>
                <w:kern w:val="0"/>
                <w:szCs w:val="21"/>
              </w:rPr>
              <w:t>分）。</w:t>
            </w:r>
            <w:r>
              <w:rPr>
                <w:rFonts w:hint="eastAsia"/>
                <w:color w:val="000000"/>
                <w:kern w:val="0"/>
                <w:szCs w:val="21"/>
              </w:rPr>
              <w:t>无工作机构扣5分，无明确分工扣5分。</w:t>
            </w:r>
          </w:p>
          <w:p>
            <w:pPr>
              <w:spacing w:line="0" w:lineRule="atLeast"/>
              <w:rPr>
                <w:color w:val="000000"/>
                <w:kern w:val="0"/>
                <w:szCs w:val="21"/>
              </w:rPr>
            </w:pPr>
            <w:r>
              <w:rPr>
                <w:color w:val="000000"/>
                <w:kern w:val="0"/>
                <w:szCs w:val="21"/>
              </w:rPr>
              <w:t>（2）配备与水土保持工作相适应的工作人员（</w:t>
            </w:r>
            <w:r>
              <w:rPr>
                <w:rFonts w:hint="eastAsia"/>
                <w:color w:val="000000"/>
                <w:kern w:val="0"/>
                <w:szCs w:val="21"/>
              </w:rPr>
              <w:t>10</w:t>
            </w:r>
            <w:r>
              <w:rPr>
                <w:color w:val="000000"/>
                <w:kern w:val="0"/>
                <w:szCs w:val="21"/>
              </w:rPr>
              <w:t>分）</w:t>
            </w:r>
            <w:r>
              <w:rPr>
                <w:rFonts w:hint="eastAsia"/>
                <w:color w:val="000000"/>
                <w:kern w:val="0"/>
                <w:szCs w:val="21"/>
              </w:rPr>
              <w:t>，未配备，不得分</w:t>
            </w:r>
            <w:r>
              <w:rPr>
                <w:color w:val="000000"/>
                <w:kern w:val="0"/>
                <w:szCs w:val="21"/>
              </w:rPr>
              <w:t>。</w:t>
            </w:r>
          </w:p>
          <w:p>
            <w:pPr>
              <w:widowControl/>
              <w:spacing w:line="0" w:lineRule="atLeast"/>
              <w:jc w:val="left"/>
              <w:textAlignment w:val="center"/>
              <w:rPr>
                <w:szCs w:val="21"/>
              </w:rPr>
            </w:pPr>
            <w:r>
              <w:rPr>
                <w:color w:val="000000"/>
                <w:kern w:val="0"/>
                <w:szCs w:val="21"/>
              </w:rPr>
              <w:t>（3）</w:t>
            </w:r>
            <w:r>
              <w:rPr>
                <w:rFonts w:hint="eastAsia"/>
                <w:color w:val="000000"/>
                <w:kern w:val="0"/>
                <w:szCs w:val="21"/>
              </w:rPr>
              <w:t>有宣传标语、发放宣传单图片5分，有学习记录和学习图片资料5分</w:t>
            </w:r>
            <w:r>
              <w:rPr>
                <w:color w:val="000000"/>
                <w:kern w:val="0"/>
                <w:szCs w:val="21"/>
              </w:rPr>
              <w:t>。</w:t>
            </w:r>
          </w:p>
        </w:tc>
        <w:tc>
          <w:tcPr>
            <w:tcW w:w="128" w:type="pct"/>
            <w:vAlign w:val="center"/>
          </w:tcPr>
          <w:p>
            <w:pPr>
              <w:widowControl/>
              <w:spacing w:line="0" w:lineRule="atLeast"/>
              <w:jc w:val="left"/>
              <w:textAlignment w:val="center"/>
              <w:rPr>
                <w:szCs w:val="21"/>
              </w:rPr>
            </w:pPr>
          </w:p>
        </w:tc>
        <w:tc>
          <w:tcPr>
            <w:tcW w:w="193" w:type="pct"/>
            <w:vAlign w:val="center"/>
          </w:tcPr>
          <w:p>
            <w:pPr>
              <w:widowControl/>
              <w:spacing w:line="0" w:lineRule="atLeast"/>
              <w:jc w:val="left"/>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Align w:val="center"/>
          </w:tcPr>
          <w:p>
            <w:pPr>
              <w:spacing w:line="0" w:lineRule="atLeast"/>
              <w:jc w:val="left"/>
              <w:rPr>
                <w:rFonts w:hint="eastAsia"/>
                <w:szCs w:val="21"/>
              </w:rPr>
            </w:pPr>
            <w:r>
              <w:rPr>
                <w:rFonts w:hint="eastAsia"/>
                <w:szCs w:val="21"/>
              </w:rPr>
              <w:t>2</w:t>
            </w:r>
          </w:p>
        </w:tc>
        <w:tc>
          <w:tcPr>
            <w:tcW w:w="486" w:type="pct"/>
            <w:vAlign w:val="center"/>
          </w:tcPr>
          <w:p>
            <w:pPr>
              <w:spacing w:line="0" w:lineRule="atLeast"/>
              <w:jc w:val="left"/>
              <w:rPr>
                <w:rFonts w:hint="eastAsia"/>
                <w:szCs w:val="21"/>
              </w:rPr>
            </w:pPr>
            <w:r>
              <w:rPr>
                <w:rFonts w:hint="eastAsia"/>
                <w:szCs w:val="21"/>
              </w:rPr>
              <w:t>目标任务完成情况</w:t>
            </w:r>
          </w:p>
        </w:tc>
        <w:tc>
          <w:tcPr>
            <w:tcW w:w="253" w:type="pct"/>
            <w:vAlign w:val="center"/>
          </w:tcPr>
          <w:p>
            <w:pPr>
              <w:spacing w:line="0" w:lineRule="atLeast"/>
              <w:jc w:val="left"/>
              <w:rPr>
                <w:rFonts w:hint="eastAsia"/>
                <w:szCs w:val="21"/>
              </w:rPr>
            </w:pPr>
            <w:r>
              <w:rPr>
                <w:rFonts w:hint="eastAsia"/>
                <w:szCs w:val="21"/>
              </w:rPr>
              <w:t>50</w:t>
            </w:r>
          </w:p>
        </w:tc>
        <w:tc>
          <w:tcPr>
            <w:tcW w:w="2022" w:type="pct"/>
            <w:vAlign w:val="center"/>
          </w:tcPr>
          <w:p>
            <w:pPr>
              <w:spacing w:line="0" w:lineRule="atLeast"/>
              <w:rPr>
                <w:rFonts w:hint="eastAsia"/>
                <w:szCs w:val="21"/>
              </w:rPr>
            </w:pPr>
            <w:r>
              <w:rPr>
                <w:szCs w:val="21"/>
              </w:rPr>
              <w:t>（1）</w:t>
            </w:r>
            <w:r>
              <w:rPr>
                <w:rFonts w:hint="eastAsia"/>
                <w:szCs w:val="21"/>
              </w:rPr>
              <w:t>督促辖区内开发建设项目落实水土保持方案审批制度。（10分）</w:t>
            </w:r>
          </w:p>
          <w:p>
            <w:pPr>
              <w:spacing w:line="0" w:lineRule="atLeast"/>
              <w:rPr>
                <w:rFonts w:hint="eastAsia"/>
                <w:szCs w:val="21"/>
              </w:rPr>
            </w:pPr>
            <w:r>
              <w:rPr>
                <w:rFonts w:hint="eastAsia"/>
                <w:szCs w:val="21"/>
              </w:rPr>
              <w:t>（2）</w:t>
            </w:r>
            <w:r>
              <w:rPr>
                <w:szCs w:val="21"/>
              </w:rPr>
              <w:t>开展生产建设项目</w:t>
            </w:r>
            <w:r>
              <w:rPr>
                <w:rFonts w:hint="eastAsia"/>
                <w:szCs w:val="21"/>
              </w:rPr>
              <w:t>水土保持监督检查</w:t>
            </w:r>
            <w:r>
              <w:rPr>
                <w:szCs w:val="21"/>
              </w:rPr>
              <w:t>。</w:t>
            </w:r>
            <w:r>
              <w:rPr>
                <w:rFonts w:hint="eastAsia"/>
                <w:szCs w:val="21"/>
              </w:rPr>
              <w:t>（10分）</w:t>
            </w:r>
          </w:p>
          <w:p>
            <w:pPr>
              <w:spacing w:line="0" w:lineRule="atLeast"/>
              <w:rPr>
                <w:rFonts w:hint="eastAsia"/>
                <w:color w:val="000000"/>
                <w:szCs w:val="21"/>
              </w:rPr>
            </w:pPr>
            <w:r>
              <w:rPr>
                <w:rStyle w:val="13"/>
                <w:rFonts w:ascii="Times New Roman" w:hAnsi="Times New Roman" w:eastAsia="仿宋_GB2312"/>
                <w:sz w:val="21"/>
                <w:szCs w:val="21"/>
              </w:rPr>
              <w:t>（</w:t>
            </w:r>
            <w:r>
              <w:rPr>
                <w:rStyle w:val="13"/>
                <w:rFonts w:hint="eastAsia" w:ascii="Times New Roman" w:hAnsi="Times New Roman" w:eastAsia="仿宋_GB2312"/>
                <w:sz w:val="21"/>
                <w:szCs w:val="21"/>
              </w:rPr>
              <w:t>3</w:t>
            </w:r>
            <w:r>
              <w:rPr>
                <w:rStyle w:val="13"/>
                <w:rFonts w:ascii="Times New Roman" w:hAnsi="Times New Roman" w:eastAsia="仿宋_GB2312"/>
                <w:sz w:val="21"/>
                <w:szCs w:val="21"/>
              </w:rPr>
              <w:t>）</w:t>
            </w:r>
            <w:r>
              <w:rPr>
                <w:rFonts w:hint="eastAsia"/>
                <w:szCs w:val="21"/>
              </w:rPr>
              <w:t>及时制止水土保持违法事件，并配合违法案件查处。（20）</w:t>
            </w:r>
          </w:p>
          <w:p>
            <w:pPr>
              <w:spacing w:line="0" w:lineRule="atLeast"/>
              <w:rPr>
                <w:rFonts w:hint="eastAsia"/>
                <w:szCs w:val="21"/>
              </w:rPr>
            </w:pPr>
            <w:r>
              <w:rPr>
                <w:szCs w:val="21"/>
              </w:rPr>
              <w:t>（</w:t>
            </w:r>
            <w:r>
              <w:rPr>
                <w:rFonts w:hint="eastAsia"/>
                <w:szCs w:val="21"/>
              </w:rPr>
              <w:t>4</w:t>
            </w:r>
            <w:r>
              <w:rPr>
                <w:szCs w:val="21"/>
              </w:rPr>
              <w:t>）</w:t>
            </w:r>
            <w:r>
              <w:rPr>
                <w:rFonts w:hint="eastAsia"/>
                <w:szCs w:val="21"/>
              </w:rPr>
              <w:t>积极配合区级相关工作（10）</w:t>
            </w:r>
          </w:p>
        </w:tc>
        <w:tc>
          <w:tcPr>
            <w:tcW w:w="1668" w:type="pct"/>
            <w:vAlign w:val="center"/>
          </w:tcPr>
          <w:p>
            <w:pPr>
              <w:spacing w:line="260" w:lineRule="exact"/>
              <w:rPr>
                <w:rStyle w:val="13"/>
                <w:rFonts w:ascii="Times New Roman" w:hAnsi="Times New Roman" w:eastAsia="仿宋_GB2312"/>
                <w:sz w:val="21"/>
                <w:szCs w:val="21"/>
              </w:rPr>
            </w:pPr>
            <w:r>
              <w:rPr>
                <w:color w:val="000000"/>
                <w:kern w:val="0"/>
                <w:szCs w:val="21"/>
              </w:rPr>
              <w:t>（</w:t>
            </w:r>
            <w:r>
              <w:rPr>
                <w:rFonts w:hint="eastAsia"/>
                <w:color w:val="000000"/>
                <w:kern w:val="0"/>
                <w:szCs w:val="21"/>
              </w:rPr>
              <w:t>1</w:t>
            </w:r>
            <w:r>
              <w:rPr>
                <w:color w:val="000000"/>
                <w:kern w:val="0"/>
                <w:szCs w:val="21"/>
              </w:rPr>
              <w:t>）督促</w:t>
            </w:r>
            <w:r>
              <w:rPr>
                <w:rFonts w:hint="eastAsia"/>
                <w:color w:val="000000"/>
                <w:kern w:val="0"/>
                <w:szCs w:val="21"/>
              </w:rPr>
              <w:t>辖区开发建设项目（房地产、山砂开采、煤矿、道路等）完善</w:t>
            </w:r>
            <w:r>
              <w:rPr>
                <w:color w:val="000000"/>
                <w:kern w:val="0"/>
                <w:szCs w:val="21"/>
              </w:rPr>
              <w:t>水土保持方案</w:t>
            </w:r>
            <w:r>
              <w:rPr>
                <w:rFonts w:hint="eastAsia"/>
                <w:color w:val="000000"/>
                <w:kern w:val="0"/>
                <w:szCs w:val="21"/>
              </w:rPr>
              <w:t>，</w:t>
            </w:r>
            <w:r>
              <w:rPr>
                <w:color w:val="000000"/>
                <w:kern w:val="0"/>
                <w:szCs w:val="21"/>
              </w:rPr>
              <w:t>水土保持方案</w:t>
            </w:r>
            <w:r>
              <w:rPr>
                <w:rFonts w:hint="eastAsia"/>
                <w:color w:val="000000"/>
                <w:kern w:val="0"/>
                <w:szCs w:val="21"/>
              </w:rPr>
              <w:t>编制率100%</w:t>
            </w:r>
            <w:r>
              <w:rPr>
                <w:color w:val="000000"/>
                <w:kern w:val="0"/>
                <w:szCs w:val="21"/>
              </w:rPr>
              <w:t>（</w:t>
            </w:r>
            <w:r>
              <w:rPr>
                <w:rFonts w:hint="eastAsia"/>
                <w:color w:val="000000"/>
                <w:kern w:val="0"/>
                <w:szCs w:val="21"/>
              </w:rPr>
              <w:t>10</w:t>
            </w:r>
            <w:r>
              <w:rPr>
                <w:color w:val="000000"/>
                <w:kern w:val="0"/>
                <w:szCs w:val="21"/>
              </w:rPr>
              <w:t>分</w:t>
            </w:r>
            <w:r>
              <w:rPr>
                <w:rFonts w:hint="eastAsia"/>
                <w:color w:val="000000"/>
                <w:kern w:val="0"/>
                <w:szCs w:val="21"/>
              </w:rPr>
              <w:t>），70~100%（8分），50~70%（6分），50%以下不得分</w:t>
            </w:r>
            <w:r>
              <w:rPr>
                <w:rStyle w:val="13"/>
                <w:rFonts w:ascii="Times New Roman" w:hAnsi="Times New Roman" w:eastAsia="仿宋_GB2312"/>
                <w:sz w:val="21"/>
                <w:szCs w:val="21"/>
              </w:rPr>
              <w:t>。</w:t>
            </w:r>
          </w:p>
          <w:p>
            <w:pPr>
              <w:spacing w:line="260" w:lineRule="exact"/>
              <w:rPr>
                <w:rStyle w:val="13"/>
                <w:rFonts w:ascii="Times New Roman" w:hAnsi="Times New Roman" w:eastAsia="仿宋_GB2312"/>
                <w:sz w:val="21"/>
                <w:szCs w:val="21"/>
              </w:rPr>
            </w:pPr>
            <w:r>
              <w:rPr>
                <w:color w:val="000000"/>
                <w:kern w:val="0"/>
                <w:szCs w:val="21"/>
              </w:rPr>
              <w:t>（</w:t>
            </w:r>
            <w:r>
              <w:rPr>
                <w:rFonts w:hint="eastAsia"/>
                <w:color w:val="000000"/>
                <w:kern w:val="0"/>
                <w:szCs w:val="21"/>
              </w:rPr>
              <w:t>2</w:t>
            </w:r>
            <w:r>
              <w:rPr>
                <w:color w:val="000000"/>
                <w:kern w:val="0"/>
                <w:szCs w:val="21"/>
              </w:rPr>
              <w:t>）</w:t>
            </w:r>
            <w:r>
              <w:rPr>
                <w:rFonts w:hint="eastAsia"/>
                <w:color w:val="000000"/>
                <w:kern w:val="0"/>
                <w:szCs w:val="21"/>
              </w:rPr>
              <w:t>配合或</w:t>
            </w:r>
            <w:r>
              <w:rPr>
                <w:color w:val="000000"/>
                <w:kern w:val="0"/>
                <w:szCs w:val="21"/>
              </w:rPr>
              <w:t>对辖区在建生产建设项目开展</w:t>
            </w:r>
            <w:r>
              <w:rPr>
                <w:rFonts w:hint="eastAsia"/>
                <w:color w:val="000000"/>
                <w:kern w:val="0"/>
                <w:szCs w:val="21"/>
              </w:rPr>
              <w:t>水保</w:t>
            </w:r>
            <w:r>
              <w:rPr>
                <w:color w:val="000000"/>
                <w:kern w:val="0"/>
                <w:szCs w:val="21"/>
              </w:rPr>
              <w:t>监督检查</w:t>
            </w:r>
            <w:r>
              <w:rPr>
                <w:rFonts w:hint="eastAsia"/>
                <w:color w:val="000000"/>
                <w:kern w:val="0"/>
                <w:szCs w:val="21"/>
              </w:rPr>
              <w:t>，覆盖率100%</w:t>
            </w:r>
            <w:r>
              <w:rPr>
                <w:color w:val="000000"/>
                <w:kern w:val="0"/>
                <w:szCs w:val="21"/>
              </w:rPr>
              <w:t>（</w:t>
            </w:r>
            <w:r>
              <w:rPr>
                <w:rFonts w:hint="eastAsia"/>
                <w:color w:val="000000"/>
                <w:kern w:val="0"/>
                <w:szCs w:val="21"/>
              </w:rPr>
              <w:t>10</w:t>
            </w:r>
            <w:r>
              <w:rPr>
                <w:color w:val="000000"/>
                <w:kern w:val="0"/>
                <w:szCs w:val="21"/>
              </w:rPr>
              <w:t>分</w:t>
            </w:r>
            <w:r>
              <w:rPr>
                <w:rFonts w:hint="eastAsia"/>
                <w:color w:val="000000"/>
                <w:kern w:val="0"/>
                <w:szCs w:val="21"/>
              </w:rPr>
              <w:t>），70~100%（8分），50~70%（6分），50%以下不得分</w:t>
            </w:r>
            <w:r>
              <w:rPr>
                <w:rStyle w:val="13"/>
                <w:rFonts w:ascii="Times New Roman" w:hAnsi="Times New Roman" w:eastAsia="仿宋_GB2312"/>
                <w:sz w:val="21"/>
                <w:szCs w:val="21"/>
              </w:rPr>
              <w:t>。</w:t>
            </w:r>
          </w:p>
          <w:p>
            <w:pPr>
              <w:widowControl/>
              <w:spacing w:line="260" w:lineRule="exact"/>
              <w:jc w:val="left"/>
              <w:textAlignment w:val="center"/>
              <w:rPr>
                <w:rFonts w:hint="eastAsia"/>
                <w:color w:val="000000"/>
                <w:kern w:val="0"/>
                <w:szCs w:val="21"/>
              </w:rPr>
            </w:pPr>
            <w:r>
              <w:rPr>
                <w:color w:val="000000"/>
                <w:kern w:val="0"/>
                <w:szCs w:val="21"/>
              </w:rPr>
              <w:t>（</w:t>
            </w:r>
            <w:r>
              <w:rPr>
                <w:rFonts w:hint="eastAsia"/>
                <w:color w:val="000000"/>
                <w:kern w:val="0"/>
                <w:szCs w:val="21"/>
              </w:rPr>
              <w:t>3</w:t>
            </w:r>
            <w:r>
              <w:rPr>
                <w:color w:val="000000"/>
                <w:kern w:val="0"/>
                <w:szCs w:val="21"/>
              </w:rPr>
              <w:t>）</w:t>
            </w:r>
            <w:r>
              <w:rPr>
                <w:rFonts w:hint="eastAsia"/>
                <w:color w:val="000000"/>
                <w:kern w:val="0"/>
                <w:szCs w:val="21"/>
              </w:rPr>
              <w:t>发现水土保持违法行为及时制止和处置（10分），或上报并做好相关台账记录（10分）；若因监管不到位每发生一起水土流失案件，扣2分，发生3起不得分。(备注：年度内辖区内未发生水土流失案件（20分）)。</w:t>
            </w:r>
          </w:p>
          <w:p>
            <w:pPr>
              <w:widowControl/>
              <w:spacing w:line="260" w:lineRule="exact"/>
              <w:jc w:val="left"/>
              <w:textAlignment w:val="center"/>
              <w:rPr>
                <w:rFonts w:hint="eastAsia"/>
                <w:color w:val="000000"/>
                <w:kern w:val="0"/>
                <w:szCs w:val="21"/>
              </w:rPr>
            </w:pPr>
            <w:r>
              <w:rPr>
                <w:rFonts w:hint="eastAsia"/>
                <w:color w:val="000000"/>
                <w:kern w:val="0"/>
                <w:szCs w:val="21"/>
              </w:rPr>
              <w:t>（4）配合开发建设项目水土保持补偿费征收</w:t>
            </w:r>
            <w:r>
              <w:rPr>
                <w:color w:val="000000"/>
                <w:kern w:val="0"/>
                <w:szCs w:val="21"/>
              </w:rPr>
              <w:t>（</w:t>
            </w:r>
            <w:r>
              <w:rPr>
                <w:rFonts w:hint="eastAsia"/>
                <w:color w:val="000000"/>
                <w:kern w:val="0"/>
                <w:szCs w:val="21"/>
              </w:rPr>
              <w:t>5</w:t>
            </w:r>
            <w:r>
              <w:rPr>
                <w:color w:val="000000"/>
                <w:kern w:val="0"/>
                <w:szCs w:val="21"/>
              </w:rPr>
              <w:t>分</w:t>
            </w:r>
            <w:r>
              <w:rPr>
                <w:rFonts w:hint="eastAsia"/>
                <w:color w:val="000000"/>
                <w:kern w:val="0"/>
                <w:szCs w:val="21"/>
              </w:rPr>
              <w:t>），配合收集辖区内水土流失动态监测所需基础资料收集（5分））。</w:t>
            </w:r>
          </w:p>
          <w:p>
            <w:pPr>
              <w:widowControl/>
              <w:spacing w:line="260" w:lineRule="exact"/>
              <w:jc w:val="left"/>
              <w:textAlignment w:val="center"/>
              <w:rPr>
                <w:color w:val="000000"/>
                <w:szCs w:val="21"/>
              </w:rPr>
            </w:pPr>
          </w:p>
        </w:tc>
        <w:tc>
          <w:tcPr>
            <w:tcW w:w="128" w:type="pct"/>
            <w:vAlign w:val="center"/>
          </w:tcPr>
          <w:p>
            <w:pPr>
              <w:widowControl/>
              <w:spacing w:line="260" w:lineRule="exact"/>
              <w:jc w:val="left"/>
              <w:textAlignment w:val="center"/>
              <w:rPr>
                <w:color w:val="000000"/>
                <w:szCs w:val="21"/>
              </w:rPr>
            </w:pPr>
          </w:p>
        </w:tc>
        <w:tc>
          <w:tcPr>
            <w:tcW w:w="193" w:type="pct"/>
            <w:vAlign w:val="center"/>
          </w:tcPr>
          <w:p>
            <w:pPr>
              <w:widowControl/>
              <w:spacing w:line="260" w:lineRule="exact"/>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250" w:type="pct"/>
            <w:vAlign w:val="center"/>
          </w:tcPr>
          <w:p>
            <w:pPr>
              <w:spacing w:line="0" w:lineRule="atLeast"/>
              <w:jc w:val="left"/>
              <w:rPr>
                <w:rFonts w:hint="eastAsia"/>
                <w:szCs w:val="21"/>
              </w:rPr>
            </w:pPr>
            <w:r>
              <w:rPr>
                <w:rFonts w:hint="eastAsia"/>
                <w:szCs w:val="21"/>
              </w:rPr>
              <w:t>3</w:t>
            </w:r>
          </w:p>
        </w:tc>
        <w:tc>
          <w:tcPr>
            <w:tcW w:w="486" w:type="pct"/>
            <w:vAlign w:val="center"/>
          </w:tcPr>
          <w:p>
            <w:pPr>
              <w:spacing w:line="0" w:lineRule="atLeast"/>
              <w:jc w:val="left"/>
              <w:rPr>
                <w:rFonts w:hint="eastAsia"/>
                <w:szCs w:val="21"/>
              </w:rPr>
            </w:pPr>
            <w:r>
              <w:rPr>
                <w:rFonts w:hint="eastAsia"/>
                <w:szCs w:val="21"/>
              </w:rPr>
              <w:t>重点工作完成情况</w:t>
            </w:r>
          </w:p>
        </w:tc>
        <w:tc>
          <w:tcPr>
            <w:tcW w:w="253" w:type="pct"/>
            <w:vAlign w:val="center"/>
          </w:tcPr>
          <w:p>
            <w:pPr>
              <w:spacing w:line="0" w:lineRule="atLeast"/>
              <w:jc w:val="left"/>
              <w:rPr>
                <w:rFonts w:hint="eastAsia"/>
                <w:szCs w:val="21"/>
              </w:rPr>
            </w:pPr>
            <w:r>
              <w:rPr>
                <w:rFonts w:hint="eastAsia"/>
                <w:szCs w:val="21"/>
              </w:rPr>
              <w:t>20</w:t>
            </w:r>
          </w:p>
        </w:tc>
        <w:tc>
          <w:tcPr>
            <w:tcW w:w="2022" w:type="pct"/>
            <w:vAlign w:val="center"/>
          </w:tcPr>
          <w:p>
            <w:pPr>
              <w:widowControl/>
              <w:spacing w:line="0" w:lineRule="atLeast"/>
              <w:textAlignment w:val="center"/>
              <w:rPr>
                <w:szCs w:val="21"/>
              </w:rPr>
            </w:pPr>
            <w:r>
              <w:rPr>
                <w:szCs w:val="21"/>
              </w:rPr>
              <w:t>（1）水土保持信息化建设。</w:t>
            </w:r>
          </w:p>
          <w:p>
            <w:pPr>
              <w:widowControl/>
              <w:spacing w:line="0" w:lineRule="atLeast"/>
              <w:textAlignment w:val="center"/>
              <w:rPr>
                <w:rFonts w:hint="eastAsia"/>
                <w:szCs w:val="21"/>
              </w:rPr>
            </w:pPr>
            <w:r>
              <w:rPr>
                <w:szCs w:val="21"/>
              </w:rPr>
              <w:t>（2）</w:t>
            </w:r>
            <w:r>
              <w:rPr>
                <w:rFonts w:hint="eastAsia"/>
                <w:szCs w:val="21"/>
              </w:rPr>
              <w:t>小流域水土流失治理项目实施情况或辖区内毁林开荒查处力度，以及面上治理任务完成情况。</w:t>
            </w:r>
          </w:p>
          <w:p>
            <w:pPr>
              <w:widowControl/>
              <w:spacing w:line="0" w:lineRule="atLeast"/>
              <w:textAlignment w:val="center"/>
              <w:rPr>
                <w:szCs w:val="21"/>
              </w:rPr>
            </w:pPr>
          </w:p>
        </w:tc>
        <w:tc>
          <w:tcPr>
            <w:tcW w:w="1668" w:type="pct"/>
            <w:vAlign w:val="center"/>
          </w:tcPr>
          <w:p>
            <w:pPr>
              <w:spacing w:line="0" w:lineRule="atLeast"/>
              <w:rPr>
                <w:rFonts w:hint="eastAsia"/>
                <w:color w:val="000000"/>
                <w:kern w:val="0"/>
                <w:szCs w:val="21"/>
              </w:rPr>
            </w:pPr>
            <w:r>
              <w:rPr>
                <w:color w:val="000000"/>
                <w:kern w:val="0"/>
                <w:szCs w:val="21"/>
              </w:rPr>
              <w:t>（1）</w:t>
            </w:r>
            <w:r>
              <w:rPr>
                <w:rFonts w:hint="eastAsia"/>
                <w:color w:val="000000"/>
                <w:kern w:val="0"/>
                <w:szCs w:val="21"/>
              </w:rPr>
              <w:t>配合区水利局</w:t>
            </w:r>
            <w:r>
              <w:rPr>
                <w:color w:val="000000"/>
                <w:kern w:val="0"/>
                <w:szCs w:val="21"/>
              </w:rPr>
              <w:t>完成201</w:t>
            </w:r>
            <w:r>
              <w:rPr>
                <w:rFonts w:hint="eastAsia"/>
                <w:color w:val="000000"/>
                <w:kern w:val="0"/>
                <w:szCs w:val="21"/>
              </w:rPr>
              <w:t>5</w:t>
            </w:r>
            <w:r>
              <w:rPr>
                <w:color w:val="000000"/>
                <w:kern w:val="0"/>
                <w:szCs w:val="21"/>
              </w:rPr>
              <w:t>-201</w:t>
            </w:r>
            <w:r>
              <w:rPr>
                <w:rFonts w:hint="eastAsia"/>
                <w:color w:val="000000"/>
                <w:kern w:val="0"/>
                <w:szCs w:val="21"/>
              </w:rPr>
              <w:t>9</w:t>
            </w:r>
            <w:r>
              <w:rPr>
                <w:color w:val="000000"/>
                <w:kern w:val="0"/>
                <w:szCs w:val="21"/>
              </w:rPr>
              <w:t>年各类国家水土保持重点工程相关数据录入全国水土保持综合治理系统</w:t>
            </w:r>
            <w:r>
              <w:rPr>
                <w:rFonts w:hint="eastAsia"/>
                <w:color w:val="000000"/>
                <w:kern w:val="0"/>
                <w:szCs w:val="21"/>
              </w:rPr>
              <w:t>以及遥感监管相关工作</w:t>
            </w:r>
            <w:r>
              <w:rPr>
                <w:color w:val="000000"/>
                <w:kern w:val="0"/>
                <w:szCs w:val="21"/>
              </w:rPr>
              <w:t>（</w:t>
            </w:r>
            <w:r>
              <w:rPr>
                <w:rFonts w:hint="eastAsia"/>
                <w:color w:val="000000"/>
                <w:kern w:val="0"/>
                <w:szCs w:val="21"/>
              </w:rPr>
              <w:t>5</w:t>
            </w:r>
            <w:r>
              <w:rPr>
                <w:color w:val="000000"/>
                <w:kern w:val="0"/>
                <w:szCs w:val="21"/>
              </w:rPr>
              <w:t>分）。</w:t>
            </w:r>
          </w:p>
          <w:p>
            <w:pPr>
              <w:spacing w:line="0" w:lineRule="atLeast"/>
              <w:rPr>
                <w:rFonts w:hint="eastAsia"/>
                <w:color w:val="000000"/>
                <w:kern w:val="0"/>
                <w:szCs w:val="21"/>
              </w:rPr>
            </w:pPr>
            <w:r>
              <w:rPr>
                <w:rFonts w:hint="eastAsia"/>
                <w:color w:val="000000"/>
                <w:kern w:val="0"/>
                <w:szCs w:val="21"/>
              </w:rPr>
              <w:t>（2）按要求完成辖区内小流域水土流失治理项目（15分），项目完成时间延期半年内扣除5分，延期半年及以上不得分。无水保治理项目乡镇该项考核分值参考林业部门对</w:t>
            </w:r>
            <w:r>
              <w:rPr>
                <w:rFonts w:hint="eastAsia"/>
                <w:szCs w:val="21"/>
              </w:rPr>
              <w:t>辖区内对毁林开荒工作考核结果赋分，或者区级其它部门安排有相关治理项目以及完成了面上治理任务的乡镇相应加分。</w:t>
            </w:r>
          </w:p>
        </w:tc>
        <w:tc>
          <w:tcPr>
            <w:tcW w:w="128" w:type="pct"/>
            <w:vAlign w:val="center"/>
          </w:tcPr>
          <w:p>
            <w:pPr>
              <w:spacing w:line="0" w:lineRule="atLeast"/>
              <w:rPr>
                <w:rFonts w:hint="eastAsia"/>
                <w:color w:val="000000"/>
                <w:kern w:val="0"/>
                <w:szCs w:val="21"/>
              </w:rPr>
            </w:pPr>
          </w:p>
        </w:tc>
        <w:tc>
          <w:tcPr>
            <w:tcW w:w="193" w:type="pct"/>
            <w:vAlign w:val="center"/>
          </w:tcPr>
          <w:p>
            <w:pPr>
              <w:spacing w:line="0" w:lineRule="atLeast"/>
              <w:rPr>
                <w:rFonts w:hint="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250" w:type="pct"/>
            <w:vAlign w:val="center"/>
          </w:tcPr>
          <w:p>
            <w:pPr>
              <w:spacing w:line="0" w:lineRule="atLeast"/>
              <w:jc w:val="left"/>
              <w:rPr>
                <w:rFonts w:hint="eastAsia"/>
                <w:szCs w:val="21"/>
              </w:rPr>
            </w:pPr>
            <w:r>
              <w:rPr>
                <w:rFonts w:hint="eastAsia"/>
                <w:szCs w:val="21"/>
              </w:rPr>
              <w:t>4</w:t>
            </w:r>
          </w:p>
        </w:tc>
        <w:tc>
          <w:tcPr>
            <w:tcW w:w="486" w:type="pct"/>
            <w:vAlign w:val="center"/>
          </w:tcPr>
          <w:p>
            <w:pPr>
              <w:spacing w:line="0" w:lineRule="atLeast"/>
              <w:jc w:val="left"/>
              <w:rPr>
                <w:rFonts w:hint="eastAsia"/>
                <w:szCs w:val="21"/>
              </w:rPr>
            </w:pPr>
            <w:r>
              <w:rPr>
                <w:rFonts w:hint="eastAsia"/>
                <w:szCs w:val="21"/>
              </w:rPr>
              <w:t>加分项</w:t>
            </w:r>
          </w:p>
        </w:tc>
        <w:tc>
          <w:tcPr>
            <w:tcW w:w="253" w:type="pct"/>
            <w:vAlign w:val="center"/>
          </w:tcPr>
          <w:p>
            <w:pPr>
              <w:spacing w:line="0" w:lineRule="atLeast"/>
              <w:jc w:val="left"/>
              <w:rPr>
                <w:rFonts w:hint="eastAsia"/>
                <w:szCs w:val="21"/>
              </w:rPr>
            </w:pPr>
            <w:r>
              <w:rPr>
                <w:rFonts w:hint="eastAsia"/>
                <w:szCs w:val="21"/>
              </w:rPr>
              <w:t>5</w:t>
            </w:r>
          </w:p>
        </w:tc>
        <w:tc>
          <w:tcPr>
            <w:tcW w:w="2022" w:type="pct"/>
            <w:vAlign w:val="center"/>
          </w:tcPr>
          <w:p>
            <w:pPr>
              <w:widowControl/>
              <w:spacing w:line="0" w:lineRule="atLeast"/>
              <w:textAlignment w:val="center"/>
              <w:rPr>
                <w:szCs w:val="21"/>
              </w:rPr>
            </w:pPr>
            <w:r>
              <w:rPr>
                <w:rFonts w:hint="eastAsia"/>
                <w:szCs w:val="21"/>
              </w:rPr>
              <w:t>（1）清洁小流域工作完成情况</w:t>
            </w:r>
          </w:p>
        </w:tc>
        <w:tc>
          <w:tcPr>
            <w:tcW w:w="1668" w:type="pct"/>
            <w:vAlign w:val="center"/>
          </w:tcPr>
          <w:p>
            <w:pPr>
              <w:spacing w:line="0" w:lineRule="atLeast"/>
              <w:rPr>
                <w:color w:val="000000"/>
                <w:kern w:val="0"/>
                <w:szCs w:val="21"/>
              </w:rPr>
            </w:pPr>
            <w:r>
              <w:rPr>
                <w:rFonts w:hint="eastAsia"/>
                <w:color w:val="000000"/>
                <w:kern w:val="0"/>
                <w:szCs w:val="21"/>
              </w:rPr>
              <w:t>完成清洁小流域工作加分5分</w:t>
            </w:r>
          </w:p>
        </w:tc>
        <w:tc>
          <w:tcPr>
            <w:tcW w:w="128" w:type="pct"/>
            <w:vAlign w:val="center"/>
          </w:tcPr>
          <w:p>
            <w:pPr>
              <w:spacing w:line="0" w:lineRule="atLeast"/>
              <w:rPr>
                <w:rFonts w:hint="eastAsia"/>
                <w:color w:val="000000"/>
                <w:kern w:val="0"/>
                <w:szCs w:val="21"/>
              </w:rPr>
            </w:pPr>
          </w:p>
        </w:tc>
        <w:tc>
          <w:tcPr>
            <w:tcW w:w="193" w:type="pct"/>
            <w:vAlign w:val="center"/>
          </w:tcPr>
          <w:p>
            <w:pPr>
              <w:spacing w:line="0" w:lineRule="atLeast"/>
              <w:rPr>
                <w:rFonts w:hint="eastAsia"/>
                <w:color w:val="000000"/>
                <w:kern w:val="0"/>
                <w:szCs w:val="21"/>
              </w:rPr>
            </w:pPr>
          </w:p>
        </w:tc>
      </w:tr>
    </w:tbl>
    <w:p>
      <w:pPr>
        <w:pStyle w:val="2"/>
        <w:ind w:right="735" w:rightChars="350" w:firstLine="660" w:firstLineChars="200"/>
        <w:jc w:val="right"/>
        <w:rPr>
          <w:rFonts w:eastAsia="仿宋_GB2312"/>
          <w:sz w:val="33"/>
          <w:szCs w:val="33"/>
        </w:rPr>
      </w:pPr>
    </w:p>
    <w:p>
      <w:pPr>
        <w:spacing w:line="540" w:lineRule="exact"/>
        <w:ind w:firstLine="4320" w:firstLineChars="1350"/>
        <w:rPr>
          <w:rFonts w:ascii="Times New Roman" w:hAnsi="Times New Roman" w:eastAsia="方正仿宋_GBK"/>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5E3FCE-71AA-4D59-8265-955B9D0C84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03249510-1430-4393-A8B3-D81F1E120F4F}"/>
  </w:font>
  <w:font w:name="方正小标宋简体">
    <w:panose1 w:val="03000509000000000000"/>
    <w:charset w:val="86"/>
    <w:family w:val="auto"/>
    <w:pitch w:val="default"/>
    <w:sig w:usb0="00000001" w:usb1="080E0000" w:usb2="00000000" w:usb3="00000000" w:csb0="00040000" w:csb1="00000000"/>
    <w:embedRegular r:id="rId3" w:fontKey="{3FDB257B-2939-4021-A78B-89385C4F2DD3}"/>
  </w:font>
  <w:font w:name="方正仿宋_GBK">
    <w:panose1 w:val="03000509000000000000"/>
    <w:charset w:val="86"/>
    <w:family w:val="script"/>
    <w:pitch w:val="default"/>
    <w:sig w:usb0="00000001" w:usb1="080E0000" w:usb2="00000000" w:usb3="00000000" w:csb0="00040000" w:csb1="00000000"/>
    <w:embedRegular r:id="rId4" w:fontKey="{BBCE61BD-F7AF-457D-9371-C54EC64DCC20}"/>
  </w:font>
  <w:font w:name="方正楷体_GBK">
    <w:panose1 w:val="03000509000000000000"/>
    <w:charset w:val="86"/>
    <w:family w:val="script"/>
    <w:pitch w:val="default"/>
    <w:sig w:usb0="00000001" w:usb1="080E0000" w:usb2="00000000" w:usb3="00000000" w:csb0="00040000" w:csb1="00000000"/>
    <w:embedRegular r:id="rId5" w:fontKey="{23E26015-5725-4968-9FF6-413213F53705}"/>
  </w:font>
  <w:font w:name="方正黑体_GBK">
    <w:panose1 w:val="03000509000000000000"/>
    <w:charset w:val="86"/>
    <w:family w:val="script"/>
    <w:pitch w:val="default"/>
    <w:sig w:usb0="00000001" w:usb1="080E0000" w:usb2="00000000" w:usb3="00000000" w:csb0="00040000" w:csb1="00000000"/>
    <w:embedRegular r:id="rId6" w:fontKey="{A02D8733-F9C2-428A-A5C8-4146543695C1}"/>
  </w:font>
  <w:font w:name="仿宋_GB2312">
    <w:panose1 w:val="02010609030101010101"/>
    <w:charset w:val="86"/>
    <w:family w:val="modern"/>
    <w:pitch w:val="default"/>
    <w:sig w:usb0="00000001" w:usb1="080E0000" w:usb2="00000000" w:usb3="00000000" w:csb0="00040000" w:csb1="00000000"/>
    <w:embedRegular r:id="rId7" w:fontKey="{AECB31F9-22E3-45C8-B2B1-60B4AB6720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sz w:val="24"/>
        <w:szCs w:val="24"/>
      </w:rPr>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r>
      <w:rPr>
        <w:rFonts w:hint="eastAsia" w:ascii="宋体" w:hAnsi="宋体"/>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sz w:val="24"/>
        <w:szCs w:val="24"/>
      </w:rPr>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hint="eastAsia" w:ascii="宋体" w:hAnsi="宋体"/>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451"/>
    <w:rsid w:val="000C33C2"/>
    <w:rsid w:val="00114451"/>
    <w:rsid w:val="002B75DE"/>
    <w:rsid w:val="00382E3E"/>
    <w:rsid w:val="003E4F30"/>
    <w:rsid w:val="004B051B"/>
    <w:rsid w:val="004F34FB"/>
    <w:rsid w:val="005763DC"/>
    <w:rsid w:val="00593276"/>
    <w:rsid w:val="00725D66"/>
    <w:rsid w:val="00800451"/>
    <w:rsid w:val="0089266A"/>
    <w:rsid w:val="009E226C"/>
    <w:rsid w:val="00D256D7"/>
    <w:rsid w:val="00D50DCB"/>
    <w:rsid w:val="00E07A92"/>
    <w:rsid w:val="00E349B3"/>
    <w:rsid w:val="16572ECB"/>
    <w:rsid w:val="19760489"/>
    <w:rsid w:val="28A564FA"/>
    <w:rsid w:val="308B4B9B"/>
    <w:rsid w:val="3193519D"/>
    <w:rsid w:val="3B542A4A"/>
    <w:rsid w:val="3DD44CE3"/>
    <w:rsid w:val="3E544720"/>
    <w:rsid w:val="40F45FA7"/>
    <w:rsid w:val="46FC6958"/>
    <w:rsid w:val="56F57367"/>
    <w:rsid w:val="59E70A47"/>
    <w:rsid w:val="65A54AD8"/>
    <w:rsid w:val="68B86187"/>
    <w:rsid w:val="6A4474C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rFonts w:ascii="Times New Roman" w:hAnsi="Times New Roman"/>
      <w:sz w:val="32"/>
    </w:rPr>
  </w:style>
  <w:style w:type="paragraph" w:styleId="3">
    <w:name w:val="Date"/>
    <w:basedOn w:val="1"/>
    <w:next w:val="1"/>
    <w:link w:val="11"/>
    <w:semiHidden/>
    <w:unhideWhenUsed/>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qFormat/>
    <w:uiPriority w:val="99"/>
    <w:rPr>
      <w:rFonts w:ascii="Calibri" w:hAnsi="Calibri"/>
      <w:kern w:val="2"/>
      <w:sz w:val="18"/>
      <w:szCs w:val="18"/>
    </w:rPr>
  </w:style>
  <w:style w:type="character" w:customStyle="1" w:styleId="10">
    <w:name w:val="页脚 Char"/>
    <w:basedOn w:val="8"/>
    <w:link w:val="4"/>
    <w:qFormat/>
    <w:uiPriority w:val="99"/>
    <w:rPr>
      <w:rFonts w:ascii="Calibri" w:hAnsi="Calibri"/>
      <w:kern w:val="2"/>
      <w:sz w:val="18"/>
      <w:szCs w:val="18"/>
    </w:rPr>
  </w:style>
  <w:style w:type="character" w:customStyle="1" w:styleId="11">
    <w:name w:val="日期 Char"/>
    <w:basedOn w:val="8"/>
    <w:link w:val="3"/>
    <w:semiHidden/>
    <w:qFormat/>
    <w:uiPriority w:val="99"/>
    <w:rPr>
      <w:rFonts w:ascii="Calibri" w:hAnsi="Calibri"/>
      <w:kern w:val="2"/>
      <w:sz w:val="21"/>
      <w:szCs w:val="24"/>
    </w:rPr>
  </w:style>
  <w:style w:type="character" w:customStyle="1" w:styleId="12">
    <w:name w:val="正文文本 Char"/>
    <w:basedOn w:val="8"/>
    <w:link w:val="2"/>
    <w:uiPriority w:val="0"/>
    <w:rPr>
      <w:kern w:val="2"/>
      <w:sz w:val="32"/>
      <w:szCs w:val="24"/>
    </w:rPr>
  </w:style>
  <w:style w:type="character" w:customStyle="1" w:styleId="13">
    <w:name w:val="font11"/>
    <w:qFormat/>
    <w:uiPriority w:val="0"/>
    <w:rPr>
      <w:rFonts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315</Words>
  <Characters>1800</Characters>
  <Lines>15</Lines>
  <Paragraphs>4</Paragraphs>
  <TotalTime>41</TotalTime>
  <ScaleCrop>false</ScaleCrop>
  <LinksUpToDate>false</LinksUpToDate>
  <CharactersWithSpaces>2111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老白不瘦不改名</cp:lastModifiedBy>
  <cp:lastPrinted>2019-12-16T09:35:00Z</cp:lastPrinted>
  <dcterms:modified xsi:type="dcterms:W3CDTF">2020-01-21T09:48:57Z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