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597"/>
      <w:bookmarkStart w:id="3" w:name="_Toc15377193"/>
      <w:bookmarkStart w:id="4" w:name="_Toc15377425"/>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194"/>
      <w:bookmarkStart w:id="8" w:name="_Toc15378442"/>
      <w:bookmarkStart w:id="9" w:name="_Toc15396476"/>
      <w:bookmarkStart w:id="10" w:name="_Toc15306268"/>
      <w:bookmarkStart w:id="11" w:name="_Toc15377426"/>
      <w:r>
        <w:rPr>
          <w:rFonts w:hint="eastAsia" w:ascii="方正小标宋简体" w:hAnsi="宋体" w:eastAsia="方正小标宋简体"/>
          <w:color w:val="000000"/>
          <w:sz w:val="72"/>
          <w:szCs w:val="72"/>
          <w:lang w:eastAsia="zh-CN"/>
        </w:rPr>
        <w:t>攀枝花市仁和区大田医院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jc w:val="left"/>
      </w:pPr>
    </w:p>
    <w:p>
      <w:pPr>
        <w:pStyle w:val="10"/>
        <w:jc w:val="left"/>
        <w:rPr>
          <w:rFonts w:cstheme="minorBidi"/>
        </w:rPr>
      </w:pPr>
      <w:r>
        <w:fldChar w:fldCharType="begin"/>
      </w:r>
      <w:r>
        <w:instrText xml:space="preserve"> HYPERLINK \l "_Toc15396599" </w:instrText>
      </w:r>
      <w:r>
        <w:fldChar w:fldCharType="separate"/>
      </w:r>
      <w:r>
        <w:rPr>
          <w:rStyle w:val="16"/>
          <w:rFonts w:hint="eastAsia"/>
        </w:rPr>
        <w:t>第一部分部门概况</w:t>
      </w:r>
      <w:r>
        <w:rPr>
          <w:rFonts w:hint="eastAsia"/>
        </w:rPr>
        <w:fldChar w:fldCharType="end"/>
      </w:r>
    </w:p>
    <w:p>
      <w:pPr>
        <w:pStyle w:val="11"/>
        <w:jc w:val="left"/>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hint="eastAsia" w:ascii="仿宋" w:hAnsi="仿宋" w:eastAsia="仿宋"/>
          <w:sz w:val="28"/>
          <w:szCs w:val="28"/>
        </w:rPr>
        <w:fldChar w:fldCharType="end"/>
      </w:r>
    </w:p>
    <w:p>
      <w:pPr>
        <w:pStyle w:val="11"/>
        <w:jc w:val="left"/>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fldChar w:fldCharType="end"/>
      </w:r>
    </w:p>
    <w:p>
      <w:pPr>
        <w:pStyle w:val="10"/>
        <w:jc w:val="left"/>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fldChar w:fldCharType="end"/>
      </w:r>
    </w:p>
    <w:p>
      <w:pPr>
        <w:pStyle w:val="11"/>
        <w:jc w:val="left"/>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fldChar w:fldCharType="end"/>
      </w:r>
    </w:p>
    <w:p>
      <w:pPr>
        <w:pStyle w:val="11"/>
        <w:jc w:val="left"/>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fldChar w:fldCharType="end"/>
      </w:r>
    </w:p>
    <w:p>
      <w:pPr>
        <w:pStyle w:val="11"/>
        <w:jc w:val="left"/>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fldChar w:fldCharType="end"/>
      </w:r>
    </w:p>
    <w:p>
      <w:pPr>
        <w:pStyle w:val="11"/>
        <w:jc w:val="left"/>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fldChar w:fldCharType="end"/>
      </w:r>
    </w:p>
    <w:p>
      <w:pPr>
        <w:pStyle w:val="11"/>
        <w:jc w:val="left"/>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fldChar w:fldCharType="end"/>
      </w:r>
    </w:p>
    <w:p>
      <w:pPr>
        <w:pStyle w:val="11"/>
        <w:jc w:val="left"/>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fldChar w:fldCharType="end"/>
      </w:r>
    </w:p>
    <w:p>
      <w:pPr>
        <w:pStyle w:val="11"/>
        <w:jc w:val="left"/>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fldChar w:fldCharType="end"/>
      </w:r>
    </w:p>
    <w:p>
      <w:pPr>
        <w:pStyle w:val="11"/>
        <w:jc w:val="left"/>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fldChar w:fldCharType="end"/>
      </w:r>
    </w:p>
    <w:p>
      <w:pPr>
        <w:pStyle w:val="11"/>
        <w:jc w:val="left"/>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fldChar w:fldCharType="end"/>
      </w:r>
    </w:p>
    <w:p>
      <w:pPr>
        <w:pStyle w:val="11"/>
        <w:jc w:val="left"/>
        <w:rPr>
          <w:rFonts w:ascii="仿宋" w:hAnsi="仿宋" w:eastAsia="仿宋" w:cstheme="minorBidi"/>
          <w:sz w:val="28"/>
          <w:szCs w:val="28"/>
        </w:rPr>
      </w:pPr>
      <w:r>
        <w:rPr>
          <w:rStyle w:val="16"/>
          <w:rFonts w:hint="eastAsia" w:ascii="仿宋" w:hAnsi="仿宋" w:eastAsia="仿宋" w:cstheme="majorBidi"/>
          <w:bCs/>
          <w:sz w:val="28"/>
          <w:szCs w:val="28"/>
          <w:lang w:eastAsia="zh-CN"/>
        </w:rPr>
        <w:t>十、</w:t>
      </w:r>
      <w:r>
        <w:fldChar w:fldCharType="begin"/>
      </w:r>
      <w:r>
        <w:instrText xml:space="preserve"> HYPERLINK \l "_Toc15396612" </w:instrText>
      </w:r>
      <w:r>
        <w:fldChar w:fldCharType="separate"/>
      </w:r>
      <w:r>
        <w:rPr>
          <w:rStyle w:val="16"/>
          <w:rFonts w:hint="eastAsia" w:ascii="仿宋" w:hAnsi="仿宋" w:eastAsia="仿宋" w:cstheme="majorBidi"/>
          <w:bCs/>
          <w:sz w:val="28"/>
          <w:szCs w:val="28"/>
        </w:rPr>
        <w:t>其他重要事项的情况说明</w:t>
      </w:r>
      <w:r>
        <w:rPr>
          <w:rFonts w:ascii="仿宋" w:hAnsi="仿宋" w:eastAsia="仿宋"/>
          <w:sz w:val="28"/>
          <w:szCs w:val="28"/>
        </w:rPr>
        <w:fldChar w:fldCharType="end"/>
      </w:r>
    </w:p>
    <w:p>
      <w:pPr>
        <w:pStyle w:val="10"/>
        <w:jc w:val="left"/>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fldChar w:fldCharType="end"/>
      </w:r>
    </w:p>
    <w:p>
      <w:pPr>
        <w:pStyle w:val="10"/>
        <w:jc w:val="left"/>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fldChar w:fldCharType="end"/>
      </w:r>
    </w:p>
    <w:p>
      <w:pPr>
        <w:pStyle w:val="11"/>
        <w:jc w:val="left"/>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fldChar w:fldCharType="end"/>
      </w:r>
    </w:p>
    <w:p>
      <w:pPr>
        <w:pStyle w:val="10"/>
        <w:jc w:val="left"/>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fldChar w:fldCharType="end"/>
      </w:r>
    </w:p>
    <w:p>
      <w:pPr>
        <w:pStyle w:val="11"/>
        <w:jc w:val="left"/>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fldChar w:fldCharType="end"/>
      </w:r>
    </w:p>
    <w:p>
      <w:pPr>
        <w:pStyle w:val="11"/>
        <w:jc w:val="left"/>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fldChar w:fldCharType="end"/>
      </w:r>
    </w:p>
    <w:p>
      <w:pPr>
        <w:pStyle w:val="11"/>
        <w:jc w:val="left"/>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fldChar w:fldCharType="end"/>
      </w:r>
    </w:p>
    <w:p>
      <w:pPr>
        <w:pStyle w:val="11"/>
        <w:jc w:val="left"/>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fldChar w:fldCharType="end"/>
      </w:r>
    </w:p>
    <w:p>
      <w:pPr>
        <w:pStyle w:val="11"/>
        <w:jc w:val="left"/>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fldChar w:fldCharType="end"/>
      </w:r>
    </w:p>
    <w:p>
      <w:pPr>
        <w:pStyle w:val="11"/>
        <w:jc w:val="left"/>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fldChar w:fldCharType="end"/>
      </w:r>
    </w:p>
    <w:p>
      <w:pPr>
        <w:pStyle w:val="11"/>
        <w:jc w:val="left"/>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fldChar w:fldCharType="end"/>
      </w:r>
    </w:p>
    <w:p>
      <w:pPr>
        <w:pStyle w:val="11"/>
        <w:jc w:val="left"/>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fldChar w:fldCharType="end"/>
      </w:r>
    </w:p>
    <w:p>
      <w:pPr>
        <w:pStyle w:val="11"/>
        <w:jc w:val="left"/>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fldChar w:fldCharType="end"/>
      </w:r>
    </w:p>
    <w:p>
      <w:pPr>
        <w:pStyle w:val="11"/>
        <w:jc w:val="left"/>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fldChar w:fldCharType="end"/>
      </w:r>
    </w:p>
    <w:p>
      <w:pPr>
        <w:pStyle w:val="11"/>
        <w:jc w:val="left"/>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fldChar w:fldCharType="end"/>
      </w:r>
    </w:p>
    <w:p>
      <w:pPr>
        <w:pStyle w:val="11"/>
        <w:jc w:val="left"/>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fldChar w:fldCharType="end"/>
      </w:r>
    </w:p>
    <w:p>
      <w:pPr>
        <w:pStyle w:val="11"/>
        <w:jc w:val="left"/>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spacing w:line="600" w:lineRule="exact"/>
        <w:ind w:firstLine="602" w:firstLineChars="200"/>
        <w:rPr>
          <w:rFonts w:hint="eastAsia" w:ascii="仿宋_GB2312" w:hAnsi="仿宋_GB2312" w:eastAsia="仿宋_GB2312" w:cs="仿宋_GB2312"/>
          <w:b/>
          <w:bCs/>
          <w:color w:val="000000"/>
          <w:sz w:val="30"/>
          <w:szCs w:val="30"/>
        </w:rPr>
      </w:pPr>
      <w:bookmarkStart w:id="14" w:name="_Toc15377197"/>
      <w:bookmarkStart w:id="15" w:name="_Toc15396600"/>
      <w:r>
        <w:rPr>
          <w:rFonts w:hint="eastAsia" w:ascii="仿宋_GB2312" w:hAnsi="仿宋_GB2312" w:eastAsia="仿宋_GB2312" w:cs="仿宋_GB2312"/>
          <w:b/>
          <w:bCs/>
          <w:color w:val="000000"/>
          <w:sz w:val="30"/>
          <w:szCs w:val="30"/>
        </w:rPr>
        <w:t>一、基本职能及主要工作</w:t>
      </w:r>
    </w:p>
    <w:p>
      <w:pPr>
        <w:pStyle w:val="5"/>
        <w:adjustRightInd w:val="0"/>
        <w:snapToGrid w:val="0"/>
        <w:spacing w:line="600" w:lineRule="exact"/>
        <w:ind w:firstLine="632" w:firstLineChars="210"/>
        <w:rPr>
          <w:rFonts w:hint="eastAsia" w:ascii="仿宋_GB2312" w:hAnsi="仿宋_GB2312" w:eastAsia="仿宋_GB2312" w:cs="仿宋_GB2312"/>
          <w:b/>
          <w:bCs w:val="0"/>
          <w:color w:val="000000"/>
          <w:sz w:val="30"/>
          <w:szCs w:val="30"/>
        </w:rPr>
      </w:pPr>
      <w:r>
        <w:rPr>
          <w:rFonts w:hint="eastAsia" w:ascii="仿宋_GB2312" w:hAnsi="仿宋_GB2312" w:eastAsia="仿宋_GB2312" w:cs="仿宋_GB2312"/>
          <w:b/>
          <w:bCs w:val="0"/>
          <w:color w:val="000000"/>
          <w:sz w:val="30"/>
          <w:szCs w:val="30"/>
        </w:rPr>
        <w:t>（一）主要职能</w:t>
      </w:r>
    </w:p>
    <w:p>
      <w:pPr>
        <w:pStyle w:val="5"/>
        <w:adjustRightInd w:val="0"/>
        <w:snapToGrid w:val="0"/>
        <w:spacing w:line="600" w:lineRule="exact"/>
        <w:ind w:firstLine="632" w:firstLineChars="210"/>
        <w:rPr>
          <w:rFonts w:hint="eastAsia" w:ascii="仿宋_GB2312" w:hAnsi="仿宋_GB2312" w:eastAsia="仿宋_GB2312" w:cs="仿宋_GB2312"/>
          <w:i w:val="0"/>
          <w:caps w:val="0"/>
          <w:color w:val="333333"/>
          <w:spacing w:val="0"/>
          <w:sz w:val="30"/>
          <w:szCs w:val="30"/>
          <w:shd w:val="clear" w:color="auto" w:fill="FFFFFF"/>
          <w:lang w:val="en-US" w:eastAsia="zh-CN"/>
        </w:rPr>
      </w:pPr>
      <w:r>
        <w:rPr>
          <w:rFonts w:hint="eastAsia" w:ascii="仿宋_GB2312" w:hAnsi="仿宋_GB2312" w:eastAsia="仿宋_GB2312" w:cs="仿宋_GB2312"/>
          <w:b/>
          <w:bCs/>
          <w:i w:val="0"/>
          <w:caps w:val="0"/>
          <w:color w:val="333333"/>
          <w:spacing w:val="0"/>
          <w:sz w:val="30"/>
          <w:szCs w:val="30"/>
          <w:shd w:val="clear" w:color="auto" w:fill="FFFFFF"/>
        </w:rPr>
        <w:t>1、</w:t>
      </w:r>
      <w:r>
        <w:rPr>
          <w:rFonts w:hint="eastAsia" w:ascii="仿宋_GB2312" w:hAnsi="仿宋_GB2312" w:eastAsia="仿宋_GB2312" w:cs="仿宋_GB2312"/>
          <w:i w:val="0"/>
          <w:caps w:val="0"/>
          <w:color w:val="333333"/>
          <w:spacing w:val="0"/>
          <w:sz w:val="30"/>
          <w:szCs w:val="30"/>
          <w:shd w:val="clear" w:color="auto" w:fill="FFFFFF"/>
        </w:rPr>
        <w:t>负责</w:t>
      </w:r>
      <w:r>
        <w:rPr>
          <w:rFonts w:hint="eastAsia" w:ascii="仿宋_GB2312" w:hAnsi="仿宋_GB2312" w:eastAsia="仿宋_GB2312" w:cs="仿宋_GB2312"/>
          <w:i w:val="0"/>
          <w:caps w:val="0"/>
          <w:color w:val="333333"/>
          <w:spacing w:val="0"/>
          <w:sz w:val="30"/>
          <w:szCs w:val="30"/>
          <w:shd w:val="clear" w:color="auto" w:fill="FFFFFF"/>
          <w:lang w:eastAsia="zh-CN"/>
        </w:rPr>
        <w:t>大田镇</w:t>
      </w:r>
      <w:r>
        <w:rPr>
          <w:rFonts w:hint="eastAsia" w:ascii="仿宋_GB2312" w:hAnsi="仿宋_GB2312" w:eastAsia="仿宋_GB2312" w:cs="仿宋_GB2312"/>
          <w:i w:val="0"/>
          <w:caps w:val="0"/>
          <w:color w:val="333333"/>
          <w:spacing w:val="0"/>
          <w:sz w:val="30"/>
          <w:szCs w:val="30"/>
          <w:shd w:val="clear" w:color="auto" w:fill="FFFFFF"/>
        </w:rPr>
        <w:t>的卫生工作法律、法规、政策的贯彻，卫生事业发展规划和工作计划的制订，社会公共卫生工作的组织和实施</w:t>
      </w:r>
      <w:r>
        <w:rPr>
          <w:rFonts w:hint="eastAsia" w:ascii="仿宋_GB2312" w:hAnsi="仿宋_GB2312" w:eastAsia="仿宋_GB2312" w:cs="仿宋_GB2312"/>
          <w:i w:val="0"/>
          <w:caps w:val="0"/>
          <w:color w:val="333333"/>
          <w:spacing w:val="0"/>
          <w:sz w:val="30"/>
          <w:szCs w:val="30"/>
          <w:shd w:val="clear" w:color="auto" w:fill="FFFFFF"/>
          <w:lang w:eastAsia="zh-CN"/>
        </w:rPr>
        <w:t>；</w:t>
      </w:r>
      <w:r>
        <w:rPr>
          <w:rFonts w:hint="eastAsia" w:ascii="仿宋_GB2312" w:hAnsi="仿宋_GB2312" w:eastAsia="仿宋_GB2312" w:cs="仿宋_GB2312"/>
          <w:b/>
          <w:bCs/>
          <w:i w:val="0"/>
          <w:caps w:val="0"/>
          <w:color w:val="333333"/>
          <w:spacing w:val="0"/>
          <w:sz w:val="30"/>
          <w:szCs w:val="30"/>
          <w:shd w:val="clear" w:color="auto" w:fill="FFFFFF"/>
        </w:rPr>
        <w:t>2、</w:t>
      </w:r>
      <w:r>
        <w:rPr>
          <w:rFonts w:hint="eastAsia" w:ascii="仿宋_GB2312" w:hAnsi="仿宋_GB2312" w:eastAsia="仿宋_GB2312" w:cs="仿宋_GB2312"/>
          <w:i w:val="0"/>
          <w:caps w:val="0"/>
          <w:color w:val="333333"/>
          <w:spacing w:val="0"/>
          <w:sz w:val="30"/>
          <w:szCs w:val="30"/>
          <w:shd w:val="clear" w:color="auto" w:fill="FFFFFF"/>
        </w:rPr>
        <w:t>负责本乡镇的基本医疗服务</w:t>
      </w:r>
      <w:r>
        <w:rPr>
          <w:rFonts w:hint="eastAsia" w:ascii="仿宋_GB2312" w:hAnsi="仿宋_GB2312" w:eastAsia="仿宋_GB2312" w:cs="仿宋_GB2312"/>
          <w:i w:val="0"/>
          <w:caps w:val="0"/>
          <w:color w:val="333333"/>
          <w:spacing w:val="0"/>
          <w:sz w:val="30"/>
          <w:szCs w:val="30"/>
          <w:shd w:val="clear" w:color="auto" w:fill="FFFFFF"/>
          <w:lang w:eastAsia="zh-CN"/>
        </w:rPr>
        <w:t>、基本公共卫生服务、卫生监督协管服务、卫生行政管理职能</w:t>
      </w:r>
      <w:r>
        <w:rPr>
          <w:rFonts w:hint="eastAsia" w:ascii="仿宋_GB2312" w:hAnsi="仿宋_GB2312" w:eastAsia="仿宋_GB2312" w:cs="仿宋_GB2312"/>
          <w:i w:val="0"/>
          <w:caps w:val="0"/>
          <w:color w:val="333333"/>
          <w:spacing w:val="0"/>
          <w:sz w:val="30"/>
          <w:szCs w:val="30"/>
          <w:shd w:val="clear" w:color="auto" w:fill="FFFFFF"/>
        </w:rPr>
        <w:t>；</w:t>
      </w:r>
      <w:r>
        <w:rPr>
          <w:rFonts w:hint="eastAsia" w:ascii="仿宋_GB2312" w:hAnsi="仿宋_GB2312" w:eastAsia="仿宋_GB2312" w:cs="仿宋_GB2312"/>
          <w:b/>
          <w:bCs/>
          <w:i w:val="0"/>
          <w:caps w:val="0"/>
          <w:color w:val="333333"/>
          <w:spacing w:val="0"/>
          <w:sz w:val="30"/>
          <w:szCs w:val="30"/>
          <w:shd w:val="clear" w:color="auto" w:fill="FFFFFF"/>
        </w:rPr>
        <w:t>3、</w:t>
      </w:r>
      <w:r>
        <w:rPr>
          <w:rFonts w:hint="eastAsia" w:ascii="仿宋_GB2312" w:hAnsi="仿宋_GB2312" w:eastAsia="仿宋_GB2312" w:cs="仿宋_GB2312"/>
          <w:i w:val="0"/>
          <w:caps w:val="0"/>
          <w:color w:val="333333"/>
          <w:spacing w:val="0"/>
          <w:sz w:val="30"/>
          <w:szCs w:val="30"/>
          <w:shd w:val="clear" w:color="auto" w:fill="FFFFFF"/>
        </w:rPr>
        <w:t>负责本乡镇突发公共卫生事件的报告，并依据上级部门要求组织实施处置；</w:t>
      </w:r>
      <w:r>
        <w:rPr>
          <w:rFonts w:hint="eastAsia" w:ascii="仿宋_GB2312" w:hAnsi="仿宋_GB2312" w:eastAsia="仿宋_GB2312" w:cs="仿宋_GB2312"/>
          <w:b/>
          <w:bCs/>
          <w:i w:val="0"/>
          <w:caps w:val="0"/>
          <w:color w:val="333333"/>
          <w:spacing w:val="0"/>
          <w:sz w:val="30"/>
          <w:szCs w:val="30"/>
          <w:shd w:val="clear" w:color="auto" w:fill="FFFFFF"/>
        </w:rPr>
        <w:t>4、</w:t>
      </w:r>
      <w:r>
        <w:rPr>
          <w:rFonts w:hint="eastAsia" w:ascii="仿宋_GB2312" w:hAnsi="仿宋_GB2312" w:eastAsia="仿宋_GB2312" w:cs="仿宋_GB2312"/>
          <w:i w:val="0"/>
          <w:caps w:val="0"/>
          <w:color w:val="333333"/>
          <w:spacing w:val="0"/>
          <w:sz w:val="30"/>
          <w:szCs w:val="30"/>
          <w:shd w:val="clear" w:color="auto" w:fill="FFFFFF"/>
        </w:rPr>
        <w:t>负责本乡镇辖区内的卫生信息统计、分析、上报；</w:t>
      </w:r>
      <w:r>
        <w:rPr>
          <w:rFonts w:hint="eastAsia" w:ascii="仿宋_GB2312" w:hAnsi="仿宋_GB2312" w:eastAsia="仿宋_GB2312" w:cs="仿宋_GB2312"/>
          <w:b/>
          <w:bCs/>
          <w:i w:val="0"/>
          <w:caps w:val="0"/>
          <w:color w:val="333333"/>
          <w:spacing w:val="0"/>
          <w:sz w:val="30"/>
          <w:szCs w:val="30"/>
          <w:shd w:val="clear" w:color="auto" w:fill="FFFFFF"/>
        </w:rPr>
        <w:t>5、</w:t>
      </w:r>
      <w:r>
        <w:rPr>
          <w:rFonts w:hint="eastAsia" w:ascii="仿宋_GB2312" w:hAnsi="仿宋_GB2312" w:eastAsia="仿宋_GB2312" w:cs="仿宋_GB2312"/>
          <w:i w:val="0"/>
          <w:caps w:val="0"/>
          <w:color w:val="333333"/>
          <w:spacing w:val="0"/>
          <w:sz w:val="30"/>
          <w:szCs w:val="30"/>
          <w:shd w:val="clear" w:color="auto" w:fill="FFFFFF"/>
        </w:rPr>
        <w:t>负责对本乡镇辖区内村级卫生组织和乡村医生的业务指导和培训；</w:t>
      </w:r>
      <w:r>
        <w:rPr>
          <w:rFonts w:hint="eastAsia" w:ascii="仿宋_GB2312" w:hAnsi="仿宋_GB2312" w:eastAsia="仿宋_GB2312" w:cs="仿宋_GB2312"/>
          <w:b/>
          <w:bCs/>
          <w:i w:val="0"/>
          <w:caps w:val="0"/>
          <w:color w:val="333333"/>
          <w:spacing w:val="0"/>
          <w:sz w:val="30"/>
          <w:szCs w:val="30"/>
          <w:shd w:val="clear" w:color="auto" w:fill="FFFFFF"/>
        </w:rPr>
        <w:t>6、</w:t>
      </w:r>
      <w:r>
        <w:rPr>
          <w:rFonts w:hint="eastAsia" w:ascii="仿宋_GB2312" w:hAnsi="仿宋_GB2312" w:eastAsia="仿宋_GB2312" w:cs="仿宋_GB2312"/>
          <w:i w:val="0"/>
          <w:caps w:val="0"/>
          <w:color w:val="333333"/>
          <w:spacing w:val="0"/>
          <w:sz w:val="30"/>
          <w:szCs w:val="30"/>
          <w:shd w:val="clear" w:color="auto" w:fill="FFFFFF"/>
        </w:rPr>
        <w:t>负责承办政府卫生行政部门委托的相关业务或事项；</w:t>
      </w:r>
      <w:r>
        <w:rPr>
          <w:rFonts w:hint="eastAsia" w:ascii="仿宋_GB2312" w:hAnsi="仿宋_GB2312" w:eastAsia="仿宋_GB2312" w:cs="仿宋_GB2312"/>
          <w:b/>
          <w:bCs/>
          <w:i w:val="0"/>
          <w:caps w:val="0"/>
          <w:color w:val="333333"/>
          <w:spacing w:val="0"/>
          <w:sz w:val="30"/>
          <w:szCs w:val="30"/>
          <w:shd w:val="clear" w:color="auto" w:fill="FFFFFF"/>
        </w:rPr>
        <w:t>7、</w:t>
      </w:r>
      <w:r>
        <w:rPr>
          <w:rFonts w:hint="eastAsia" w:ascii="仿宋_GB2312" w:hAnsi="仿宋_GB2312" w:eastAsia="仿宋_GB2312" w:cs="仿宋_GB2312"/>
          <w:i w:val="0"/>
          <w:caps w:val="0"/>
          <w:color w:val="333333"/>
          <w:spacing w:val="0"/>
          <w:sz w:val="30"/>
          <w:szCs w:val="30"/>
          <w:shd w:val="clear" w:color="auto" w:fill="FFFFFF"/>
        </w:rPr>
        <w:t>负责上级卫生行政部门下达的其他工作。</w:t>
      </w:r>
      <w:r>
        <w:rPr>
          <w:rFonts w:hint="eastAsia" w:ascii="仿宋_GB2312" w:hAnsi="仿宋_GB2312" w:eastAsia="仿宋_GB2312" w:cs="仿宋_GB2312"/>
          <w:i w:val="0"/>
          <w:caps w:val="0"/>
          <w:color w:val="333333"/>
          <w:spacing w:val="0"/>
          <w:sz w:val="30"/>
          <w:szCs w:val="30"/>
          <w:shd w:val="clear" w:color="auto" w:fill="FFFFFF"/>
          <w:lang w:eastAsia="zh-CN"/>
        </w:rPr>
        <w:t>主要工作是搞好基本公共卫生和基本医疗。</w:t>
      </w:r>
    </w:p>
    <w:p>
      <w:pPr>
        <w:pStyle w:val="5"/>
        <w:adjustRightInd w:val="0"/>
        <w:snapToGrid w:val="0"/>
        <w:spacing w:line="600" w:lineRule="exact"/>
        <w:ind w:firstLine="904" w:firstLineChars="300"/>
        <w:rPr>
          <w:rFonts w:hint="eastAsia" w:ascii="仿宋_GB2312" w:hAnsi="仿宋_GB2312" w:eastAsia="仿宋_GB2312" w:cs="仿宋_GB2312"/>
          <w:b/>
          <w:bCs w:val="0"/>
          <w:color w:val="000000"/>
          <w:sz w:val="30"/>
          <w:szCs w:val="30"/>
        </w:rPr>
      </w:pPr>
      <w:r>
        <w:rPr>
          <w:rFonts w:hint="eastAsia" w:ascii="仿宋_GB2312" w:hAnsi="仿宋_GB2312" w:eastAsia="仿宋_GB2312" w:cs="仿宋_GB2312"/>
          <w:b/>
          <w:bCs w:val="0"/>
          <w:color w:val="000000"/>
          <w:sz w:val="30"/>
          <w:szCs w:val="30"/>
        </w:rPr>
        <w:t>（二）201</w:t>
      </w:r>
      <w:r>
        <w:rPr>
          <w:rFonts w:hint="eastAsia" w:ascii="仿宋_GB2312" w:hAnsi="仿宋_GB2312" w:eastAsia="仿宋_GB2312" w:cs="仿宋_GB2312"/>
          <w:b/>
          <w:bCs w:val="0"/>
          <w:color w:val="000000"/>
          <w:sz w:val="30"/>
          <w:szCs w:val="30"/>
          <w:lang w:val="en-US" w:eastAsia="zh-CN"/>
        </w:rPr>
        <w:t>8</w:t>
      </w:r>
      <w:r>
        <w:rPr>
          <w:rFonts w:hint="eastAsia" w:ascii="仿宋_GB2312" w:hAnsi="仿宋_GB2312" w:eastAsia="仿宋_GB2312" w:cs="仿宋_GB2312"/>
          <w:b/>
          <w:bCs w:val="0"/>
          <w:color w:val="000000"/>
          <w:sz w:val="30"/>
          <w:szCs w:val="30"/>
        </w:rPr>
        <w:t>年重点工作完成情况</w:t>
      </w:r>
    </w:p>
    <w:p>
      <w:pPr>
        <w:pStyle w:val="5"/>
        <w:adjustRightInd w:val="0"/>
        <w:snapToGrid w:val="0"/>
        <w:spacing w:before="93" w:line="580" w:lineRule="exact"/>
        <w:ind w:firstLine="630" w:firstLineChars="210"/>
        <w:rPr>
          <w:rFonts w:hint="eastAsia" w:ascii="仿宋_GB2312" w:hAnsi="仿宋_GB2312" w:eastAsia="仿宋_GB2312" w:cs="仿宋_GB2312"/>
          <w:i w:val="0"/>
          <w:caps w:val="0"/>
          <w:color w:val="333333"/>
          <w:spacing w:val="0"/>
          <w:sz w:val="30"/>
          <w:szCs w:val="30"/>
          <w:shd w:val="clear" w:color="auto" w:fill="FFFFFF"/>
        </w:rPr>
      </w:pPr>
      <w:r>
        <w:rPr>
          <w:rFonts w:hint="eastAsia" w:ascii="仿宋_GB2312" w:hAnsi="仿宋_GB2312" w:eastAsia="仿宋_GB2312" w:cs="仿宋_GB2312"/>
          <w:i w:val="0"/>
          <w:caps w:val="0"/>
          <w:color w:val="333333"/>
          <w:spacing w:val="0"/>
          <w:sz w:val="30"/>
          <w:szCs w:val="30"/>
          <w:shd w:val="clear" w:color="auto" w:fill="FFFFFF"/>
        </w:rPr>
        <w:t xml:space="preserve">一是全面建立覆盖全乡居民的基本医疗卫生服务制度，使全乡居民人人享有基本医疗保障，人人享有基本公共卫生服务，医疗卫生服务质量、服务效率和群众满意度显著提高，切实解决看病难问题;二是基本建立分工明确、信息互通、资源共享、协调互动的公共卫生服务体系，促进全乡居民享有均等化的基本公共卫生服务;三是基本建立规范有序、结构合理、覆盖全乡的医疗服务体系，为群众提供安全、有效、方便、价廉的基本医疗服务;四是以国家基本药物制度为基础的药品器械供应保障体系进一步规范，确保基本药物安全有效、公平可及、合理使用;五是建立健全支撑卫生事业全面、协调、可持续发展的各项体制机制，有效保障医药卫生体系规范运行;六是加强卫生院硬件设施建设，改造或新建业务用房，使卫生院业务用房布局更加合理化、人性化，将二楼手术室改建为输液大厅，并安装电视等人性化服务设施;七是培养一支留得住、用得上、满足群众健康需求、技术过硬的基础医疗卫生队伍。   </w:t>
      </w:r>
      <w:bookmarkEnd w:id="14"/>
      <w:bookmarkEnd w:id="15"/>
      <w:bookmarkStart w:id="16" w:name="_Toc15396601"/>
      <w:bookmarkStart w:id="17" w:name="_Toc15377200"/>
    </w:p>
    <w:bookmarkEnd w:id="16"/>
    <w:bookmarkEnd w:id="17"/>
    <w:p>
      <w:pPr>
        <w:spacing w:line="600" w:lineRule="exact"/>
        <w:ind w:firstLine="602" w:firstLineChars="2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二、部门概况</w:t>
      </w:r>
    </w:p>
    <w:p>
      <w:pPr>
        <w:pStyle w:val="12"/>
        <w:keepNext w:val="0"/>
        <w:keepLines w:val="0"/>
        <w:widowControl/>
        <w:suppressLineNumbers w:val="0"/>
        <w:shd w:val="clear" w:color="auto" w:fill="FFFFFF"/>
        <w:spacing w:before="100" w:beforeAutospacing="0" w:after="100" w:afterAutospacing="0" w:line="600" w:lineRule="atLeast"/>
        <w:ind w:left="0" w:right="0" w:firstLine="600"/>
        <w:rPr>
          <w:rFonts w:hint="eastAsia" w:ascii="仿宋_GB2312" w:hAnsi="仿宋_GB2312" w:eastAsia="仿宋_GB2312" w:cs="仿宋_GB2312"/>
          <w:b/>
          <w:bCs/>
          <w:i w:val="0"/>
          <w:caps w:val="0"/>
          <w:color w:val="333333"/>
          <w:spacing w:val="0"/>
          <w:sz w:val="30"/>
          <w:szCs w:val="30"/>
        </w:rPr>
      </w:pPr>
      <w:r>
        <w:rPr>
          <w:rFonts w:hint="eastAsia" w:ascii="仿宋_GB2312" w:hAnsi="仿宋_GB2312" w:eastAsia="仿宋_GB2312" w:cs="仿宋_GB2312"/>
          <w:b/>
          <w:bCs/>
          <w:i w:val="0"/>
          <w:caps w:val="0"/>
          <w:color w:val="333333"/>
          <w:spacing w:val="0"/>
          <w:sz w:val="30"/>
          <w:szCs w:val="30"/>
          <w:shd w:val="clear" w:color="auto" w:fill="FFFFFF"/>
        </w:rPr>
        <w:t>（一）部门决算单位构成</w:t>
      </w:r>
    </w:p>
    <w:p>
      <w:pPr>
        <w:pStyle w:val="12"/>
        <w:keepNext w:val="0"/>
        <w:keepLines w:val="0"/>
        <w:widowControl/>
        <w:suppressLineNumbers w:val="0"/>
        <w:shd w:val="clear" w:color="auto" w:fill="FFFFFF"/>
        <w:spacing w:before="100" w:beforeAutospacing="0" w:after="100" w:afterAutospacing="0" w:line="600" w:lineRule="atLeast"/>
        <w:ind w:left="0" w:right="0" w:firstLine="600"/>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pPr>
      <w:r>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t>仁和区大田医院部门2018年度部门决算编报的单位共1个。其中：行政单位0个，事业单位1个，其他单位0个。</w:t>
      </w:r>
    </w:p>
    <w:p>
      <w:pPr>
        <w:pStyle w:val="12"/>
        <w:keepNext w:val="0"/>
        <w:keepLines w:val="0"/>
        <w:widowControl/>
        <w:suppressLineNumbers w:val="0"/>
        <w:shd w:val="clear" w:color="auto" w:fill="FFFFFF"/>
        <w:spacing w:before="100" w:beforeAutospacing="0" w:after="100" w:afterAutospacing="0" w:line="378" w:lineRule="atLeast"/>
        <w:ind w:left="0" w:right="0" w:firstLine="600"/>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pPr>
      <w:r>
        <w:rPr>
          <w:rFonts w:hint="eastAsia" w:ascii="仿宋_GB2312" w:hAnsi="仿宋_GB2312" w:eastAsia="仿宋_GB2312" w:cs="仿宋_GB2312"/>
          <w:b/>
          <w:bCs/>
          <w:i w:val="0"/>
          <w:caps w:val="0"/>
          <w:color w:val="333333"/>
          <w:spacing w:val="0"/>
          <w:kern w:val="2"/>
          <w:sz w:val="30"/>
          <w:szCs w:val="30"/>
          <w:shd w:val="clear" w:color="auto" w:fill="FFFFFF"/>
          <w:lang w:val="en-US" w:eastAsia="zh-CN" w:bidi="ar-SA"/>
        </w:rPr>
        <w:t>（二）部门人员和车辆的编制及实有情况</w:t>
      </w:r>
      <w:r>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t> </w:t>
      </w:r>
    </w:p>
    <w:p>
      <w:pPr>
        <w:pStyle w:val="12"/>
        <w:keepNext w:val="0"/>
        <w:keepLines w:val="0"/>
        <w:widowControl/>
        <w:suppressLineNumbers w:val="0"/>
        <w:shd w:val="clear" w:color="auto" w:fill="FFFFFF"/>
        <w:spacing w:before="100" w:beforeAutospacing="0" w:after="100" w:afterAutospacing="0" w:line="600" w:lineRule="atLeast"/>
        <w:ind w:left="0" w:right="0" w:firstLine="600"/>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pPr>
      <w:r>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t>仁和区大田医院部门2018年末实有在岗人员24人。其中：事业编制21人，临聘人员3人。</w:t>
      </w:r>
    </w:p>
    <w:p>
      <w:pPr>
        <w:pStyle w:val="12"/>
        <w:keepNext w:val="0"/>
        <w:keepLines w:val="0"/>
        <w:widowControl/>
        <w:suppressLineNumbers w:val="0"/>
        <w:shd w:val="clear" w:color="auto" w:fill="FFFFFF"/>
        <w:spacing w:before="100" w:beforeAutospacing="0" w:after="100" w:afterAutospacing="0" w:line="600" w:lineRule="atLeast"/>
        <w:ind w:left="0" w:right="0" w:firstLine="600"/>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pPr>
      <w:r>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t>离退休人员16人。其中：离休0人，退休16人。</w:t>
      </w:r>
    </w:p>
    <w:p>
      <w:pPr>
        <w:pStyle w:val="12"/>
        <w:keepNext w:val="0"/>
        <w:keepLines w:val="0"/>
        <w:widowControl/>
        <w:suppressLineNumbers w:val="0"/>
        <w:shd w:val="clear" w:color="auto" w:fill="FFFFFF"/>
        <w:spacing w:before="100" w:beforeAutospacing="0" w:after="100" w:afterAutospacing="0" w:line="600" w:lineRule="atLeast"/>
        <w:ind w:left="0" w:right="0" w:firstLine="600"/>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pPr>
      <w:r>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t>实有车辆2辆。其中救护车一辆，越野车一辆。</w:t>
      </w:r>
    </w:p>
    <w:p>
      <w:pPr>
        <w:ind w:firstLine="320" w:firstLineChars="100"/>
        <w:rPr>
          <w:rFonts w:ascii="仿宋" w:hAnsi="仿宋" w:eastAsia="仿宋"/>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18" w:name="_Toc15377204"/>
      <w:bookmarkStart w:id="19" w:name="_Toc15396602"/>
      <w:r>
        <w:rPr>
          <w:rFonts w:hint="eastAsia" w:ascii="黑体" w:hAnsi="黑体" w:eastAsia="黑体"/>
          <w:b w:val="0"/>
          <w:color w:val="000000"/>
        </w:rPr>
        <w:t>第二部分</w:t>
      </w:r>
      <w:r>
        <w:rPr>
          <w:rStyle w:val="25"/>
          <w:rFonts w:hint="eastAsia" w:ascii="黑体" w:hAnsi="黑体" w:eastAsia="黑体"/>
          <w:b w:val="0"/>
          <w:bCs w:val="0"/>
        </w:rPr>
        <w:t>2018年度部门决算情况说明</w:t>
      </w:r>
      <w:bookmarkEnd w:id="18"/>
      <w:bookmarkEnd w:id="19"/>
    </w:p>
    <w:p/>
    <w:p>
      <w:pPr>
        <w:pStyle w:val="24"/>
        <w:numPr>
          <w:ilvl w:val="0"/>
          <w:numId w:val="1"/>
        </w:numPr>
        <w:spacing w:line="600" w:lineRule="exact"/>
        <w:ind w:firstLineChars="0"/>
        <w:outlineLvl w:val="1"/>
        <w:rPr>
          <w:rStyle w:val="26"/>
          <w:rFonts w:ascii="黑体" w:hAnsi="黑体" w:eastAsia="黑体"/>
          <w:b w:val="0"/>
        </w:rPr>
      </w:pPr>
      <w:bookmarkStart w:id="20" w:name="_Toc15377205"/>
      <w:bookmarkStart w:id="21"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0"/>
      <w:bookmarkEnd w:id="21"/>
    </w:p>
    <w:p>
      <w:pPr>
        <w:spacing w:line="600" w:lineRule="exact"/>
        <w:ind w:firstLine="640"/>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t>2018年决算收入合计524.66万元，其中：一般公共预算财政拨款收入340.87万元，占64.96%；事业收入142.39万元，占27.13%；其他收入41.4万元，占7.91%。</w:t>
      </w:r>
    </w:p>
    <w:p>
      <w:pPr>
        <w:spacing w:line="60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drawing>
          <wp:anchor distT="0" distB="0" distL="114300" distR="114300" simplePos="0" relativeHeight="251664384" behindDoc="0" locked="0" layoutInCell="1" allowOverlap="1">
            <wp:simplePos x="0" y="0"/>
            <wp:positionH relativeFrom="column">
              <wp:posOffset>137795</wp:posOffset>
            </wp:positionH>
            <wp:positionV relativeFrom="paragraph">
              <wp:posOffset>156845</wp:posOffset>
            </wp:positionV>
            <wp:extent cx="4933950" cy="3733800"/>
            <wp:effectExtent l="4445" t="4445" r="14605" b="14605"/>
            <wp:wrapTopAndBottom/>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二、收入决算情况表</w:t>
      </w:r>
    </w:p>
    <w:p>
      <w:pPr>
        <w:spacing w:line="600" w:lineRule="exact"/>
        <w:ind w:firstLine="640"/>
        <w:rPr>
          <w:rFonts w:hint="eastAsia" w:ascii="仿宋_GB2312" w:hAnsi="仿宋_GB2312" w:eastAsia="仿宋_GB2312" w:cs="仿宋_GB2312"/>
          <w:color w:val="000000"/>
          <w:sz w:val="30"/>
          <w:szCs w:val="30"/>
        </w:rPr>
      </w:pPr>
      <w:r>
        <w:rPr>
          <w:rFonts w:hint="eastAsia" w:ascii="仿宋_GB2312" w:hAnsi="仿宋_GB2312" w:eastAsia="仿宋_GB2312" w:cs="仿宋_GB2312"/>
          <w:i w:val="0"/>
          <w:caps w:val="0"/>
          <w:color w:val="333333"/>
          <w:spacing w:val="0"/>
          <w:kern w:val="2"/>
          <w:sz w:val="30"/>
          <w:szCs w:val="30"/>
          <w:shd w:val="clear" w:color="auto" w:fill="FFFFFF"/>
          <w:lang w:val="en-US" w:eastAsia="zh-CN" w:bidi="ar-SA"/>
        </w:rPr>
        <w:t>2018年决算收入合计524.66万元，其中：一般公共预算财政拨款收入340.87万元，占64.96%；事业收入142.39万元，占27.13%；其他收入41.4万元，占7.91%。</w:t>
      </w:r>
    </w:p>
    <w:p>
      <w:pPr>
        <w:spacing w:line="600" w:lineRule="exact"/>
        <w:rPr>
          <w:rFonts w:hint="eastAsia" w:ascii="仿宋_GB2312" w:hAnsi="仿宋_GB2312" w:eastAsia="仿宋_GB2312" w:cs="仿宋_GB2312"/>
          <w:color w:val="000000"/>
          <w:sz w:val="30"/>
          <w:szCs w:val="30"/>
        </w:rPr>
      </w:pPr>
    </w:p>
    <w:p>
      <w:pPr>
        <w:spacing w:line="600" w:lineRule="exact"/>
        <w:rPr>
          <w:rFonts w:hint="eastAsia" w:ascii="仿宋_GB2312" w:hAnsi="仿宋_GB2312" w:eastAsia="仿宋_GB2312" w:cs="仿宋_GB2312"/>
          <w:color w:val="000000"/>
          <w:sz w:val="30"/>
          <w:szCs w:val="30"/>
        </w:rPr>
      </w:pPr>
      <w:r>
        <w:drawing>
          <wp:anchor distT="0" distB="0" distL="114300" distR="114300" simplePos="0" relativeHeight="251670528" behindDoc="0" locked="0" layoutInCell="1" allowOverlap="1">
            <wp:simplePos x="0" y="0"/>
            <wp:positionH relativeFrom="column">
              <wp:posOffset>156845</wp:posOffset>
            </wp:positionH>
            <wp:positionV relativeFrom="paragraph">
              <wp:posOffset>80645</wp:posOffset>
            </wp:positionV>
            <wp:extent cx="4525010" cy="3515360"/>
            <wp:effectExtent l="4445" t="4445" r="23495" b="23495"/>
            <wp:wrapTopAndBottom/>
            <wp:docPr id="142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numPr>
          <w:numId w:val="0"/>
        </w:numPr>
        <w:spacing w:line="600" w:lineRule="exact"/>
        <w:ind w:firstLine="300" w:firstLineChars="1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三、支出决算情说明</w:t>
      </w:r>
    </w:p>
    <w:p>
      <w:pPr>
        <w:numPr>
          <w:numId w:val="0"/>
        </w:numPr>
        <w:spacing w:line="600" w:lineRule="exact"/>
        <w:ind w:left="640" w:leftChars="0" w:firstLine="900" w:firstLineChars="300"/>
        <w:rPr>
          <w:rFonts w:hint="eastAsia" w:ascii="仿宋_GB2312" w:hAnsi="仿宋_GB2312" w:eastAsia="仿宋_GB2312" w:cs="仿宋_GB2312"/>
          <w:color w:val="000000"/>
          <w:sz w:val="30"/>
          <w:szCs w:val="30"/>
          <w:lang w:eastAsia="zh-CN"/>
        </w:rPr>
      </w:pPr>
      <w:bookmarkStart w:id="49" w:name="_GoBack"/>
      <w:bookmarkEnd w:id="49"/>
      <w:r>
        <w:rPr>
          <w:rFonts w:hint="eastAsia" w:ascii="仿宋_GB2312" w:hAnsi="仿宋_GB2312" w:eastAsia="仿宋_GB2312" w:cs="仿宋_GB2312"/>
          <w:color w:val="000000"/>
          <w:sz w:val="30"/>
          <w:szCs w:val="30"/>
        </w:rPr>
        <w:t>201</w:t>
      </w:r>
      <w:r>
        <w:rPr>
          <w:rFonts w:hint="eastAsia" w:ascii="仿宋_GB2312" w:hAnsi="仿宋_GB2312" w:eastAsia="仿宋_GB2312" w:cs="仿宋_GB2312"/>
          <w:color w:val="000000"/>
          <w:sz w:val="30"/>
          <w:szCs w:val="30"/>
          <w:lang w:val="en-US" w:eastAsia="zh-CN"/>
        </w:rPr>
        <w:t>8</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eastAsia="zh-CN"/>
        </w:rPr>
        <w:t>决算</w:t>
      </w:r>
      <w:r>
        <w:rPr>
          <w:rFonts w:hint="eastAsia" w:ascii="仿宋_GB2312" w:hAnsi="仿宋_GB2312" w:eastAsia="仿宋_GB2312" w:cs="仿宋_GB2312"/>
          <w:color w:val="000000"/>
          <w:sz w:val="30"/>
          <w:szCs w:val="30"/>
        </w:rPr>
        <w:t>支出合计</w:t>
      </w:r>
      <w:r>
        <w:rPr>
          <w:rFonts w:hint="eastAsia" w:ascii="仿宋_GB2312" w:hAnsi="仿宋_GB2312" w:eastAsia="仿宋_GB2312" w:cs="仿宋_GB2312"/>
          <w:color w:val="000000"/>
          <w:sz w:val="30"/>
          <w:szCs w:val="30"/>
          <w:lang w:val="en-US" w:eastAsia="zh-CN"/>
        </w:rPr>
        <w:t>502.32</w:t>
      </w:r>
      <w:r>
        <w:rPr>
          <w:rFonts w:hint="eastAsia" w:ascii="仿宋_GB2312" w:hAnsi="仿宋_GB2312" w:eastAsia="仿宋_GB2312" w:cs="仿宋_GB2312"/>
          <w:color w:val="000000"/>
          <w:sz w:val="30"/>
          <w:szCs w:val="30"/>
        </w:rPr>
        <w:t>万元，其中：基本支出</w:t>
      </w:r>
      <w:r>
        <w:rPr>
          <w:rFonts w:hint="eastAsia" w:ascii="仿宋_GB2312" w:hAnsi="仿宋_GB2312" w:eastAsia="仿宋_GB2312" w:cs="仿宋_GB2312"/>
          <w:color w:val="000000"/>
          <w:sz w:val="30"/>
          <w:szCs w:val="30"/>
          <w:lang w:val="en-US" w:eastAsia="zh-CN"/>
        </w:rPr>
        <w:t>404.77</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80.58</w:t>
      </w:r>
      <w:r>
        <w:rPr>
          <w:rFonts w:hint="eastAsia" w:ascii="仿宋_GB2312" w:hAnsi="仿宋_GB2312" w:eastAsia="仿宋_GB2312" w:cs="仿宋_GB2312"/>
          <w:color w:val="000000"/>
          <w:sz w:val="30"/>
          <w:szCs w:val="30"/>
        </w:rPr>
        <w:t>%；项目支出</w:t>
      </w:r>
      <w:r>
        <w:rPr>
          <w:rFonts w:hint="eastAsia" w:ascii="仿宋_GB2312" w:hAnsi="仿宋_GB2312" w:eastAsia="仿宋_GB2312" w:cs="仿宋_GB2312"/>
          <w:color w:val="000000"/>
          <w:sz w:val="30"/>
          <w:szCs w:val="30"/>
          <w:lang w:val="en-US" w:eastAsia="zh-CN"/>
        </w:rPr>
        <w:t>97.55</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19.42</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w:t>
      </w:r>
    </w:p>
    <w:p>
      <w:pPr>
        <w:spacing w:line="600" w:lineRule="exact"/>
        <w:ind w:firstLine="42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sz w:val="30"/>
          <w:szCs w:val="30"/>
        </w:rPr>
        <w:drawing>
          <wp:anchor distT="0" distB="0" distL="114300" distR="114300" simplePos="0" relativeHeight="251665408" behindDoc="0" locked="0" layoutInCell="1" allowOverlap="1">
            <wp:simplePos x="0" y="0"/>
            <wp:positionH relativeFrom="column">
              <wp:posOffset>441960</wp:posOffset>
            </wp:positionH>
            <wp:positionV relativeFrom="paragraph">
              <wp:posOffset>457835</wp:posOffset>
            </wp:positionV>
            <wp:extent cx="4526280" cy="3128010"/>
            <wp:effectExtent l="4445" t="4445" r="22225" b="10795"/>
            <wp:wrapTopAndBottom/>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300" w:firstLineChars="1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color w:val="000000"/>
          <w:sz w:val="30"/>
          <w:szCs w:val="30"/>
          <w:lang w:val="en-US" w:eastAsia="zh-CN"/>
        </w:rPr>
        <w:t xml:space="preserve"> 四</w:t>
      </w:r>
      <w:r>
        <w:rPr>
          <w:rFonts w:hint="eastAsia" w:ascii="仿宋_GB2312" w:hAnsi="仿宋_GB2312" w:eastAsia="仿宋_GB2312" w:cs="仿宋_GB2312"/>
          <w:b/>
          <w:bCs/>
          <w:color w:val="000000"/>
          <w:sz w:val="30"/>
          <w:szCs w:val="30"/>
        </w:rPr>
        <w:t>、财政拨款收入支出决算总体情况说明</w:t>
      </w:r>
    </w:p>
    <w:p>
      <w:pPr>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201</w:t>
      </w:r>
      <w:r>
        <w:rPr>
          <w:rFonts w:hint="eastAsia" w:ascii="仿宋_GB2312" w:hAnsi="仿宋_GB2312" w:eastAsia="仿宋_GB2312" w:cs="仿宋_GB2312"/>
          <w:color w:val="000000"/>
          <w:sz w:val="30"/>
          <w:szCs w:val="30"/>
          <w:lang w:val="en-US" w:eastAsia="zh-CN"/>
        </w:rPr>
        <w:t>8</w:t>
      </w:r>
      <w:r>
        <w:rPr>
          <w:rFonts w:hint="eastAsia" w:ascii="仿宋_GB2312" w:hAnsi="仿宋_GB2312" w:eastAsia="仿宋_GB2312" w:cs="仿宋_GB2312"/>
          <w:color w:val="000000"/>
          <w:sz w:val="30"/>
          <w:szCs w:val="30"/>
        </w:rPr>
        <w:t>年度财政拨款</w:t>
      </w:r>
      <w:r>
        <w:rPr>
          <w:rFonts w:hint="eastAsia" w:ascii="仿宋_GB2312" w:hAnsi="仿宋_GB2312" w:eastAsia="仿宋_GB2312" w:cs="仿宋_GB2312"/>
          <w:color w:val="000000"/>
          <w:sz w:val="30"/>
          <w:szCs w:val="30"/>
          <w:lang w:eastAsia="zh-CN"/>
        </w:rPr>
        <w:t>收入</w:t>
      </w:r>
      <w:r>
        <w:rPr>
          <w:rFonts w:hint="eastAsia" w:ascii="仿宋_GB2312" w:hAnsi="仿宋_GB2312" w:eastAsia="仿宋_GB2312" w:cs="仿宋_GB2312"/>
          <w:color w:val="000000"/>
          <w:sz w:val="30"/>
          <w:szCs w:val="30"/>
          <w:lang w:val="en-US" w:eastAsia="zh-CN"/>
        </w:rPr>
        <w:t>340.87万元，</w:t>
      </w:r>
      <w:r>
        <w:rPr>
          <w:rFonts w:hint="eastAsia" w:ascii="仿宋_GB2312" w:hAnsi="仿宋_GB2312" w:eastAsia="仿宋_GB2312" w:cs="仿宋_GB2312"/>
          <w:color w:val="000000"/>
          <w:sz w:val="30"/>
          <w:szCs w:val="30"/>
        </w:rPr>
        <w:t>支</w:t>
      </w:r>
      <w:r>
        <w:rPr>
          <w:rFonts w:hint="eastAsia" w:ascii="仿宋_GB2312" w:hAnsi="仿宋_GB2312" w:eastAsia="仿宋_GB2312" w:cs="仿宋_GB2312"/>
          <w:color w:val="000000"/>
          <w:sz w:val="30"/>
          <w:szCs w:val="30"/>
          <w:lang w:eastAsia="zh-CN"/>
        </w:rPr>
        <w:t>出</w:t>
      </w:r>
      <w:r>
        <w:rPr>
          <w:rFonts w:hint="eastAsia" w:ascii="仿宋_GB2312" w:hAnsi="仿宋_GB2312" w:eastAsia="仿宋_GB2312" w:cs="仿宋_GB2312"/>
          <w:color w:val="000000"/>
          <w:sz w:val="30"/>
          <w:szCs w:val="30"/>
          <w:lang w:val="en-US" w:eastAsia="zh-CN"/>
        </w:rPr>
        <w:t>502.32万元</w:t>
      </w:r>
      <w:r>
        <w:rPr>
          <w:rFonts w:hint="eastAsia" w:ascii="仿宋_GB2312" w:hAnsi="仿宋_GB2312" w:eastAsia="仿宋_GB2312" w:cs="仿宋_GB2312"/>
          <w:color w:val="000000"/>
          <w:sz w:val="30"/>
          <w:szCs w:val="30"/>
        </w:rPr>
        <w:t>。与201</w:t>
      </w:r>
      <w:r>
        <w:rPr>
          <w:rFonts w:hint="eastAsia" w:ascii="仿宋_GB2312" w:hAnsi="仿宋_GB2312" w:eastAsia="仿宋_GB2312" w:cs="仿宋_GB2312"/>
          <w:color w:val="000000"/>
          <w:sz w:val="30"/>
          <w:szCs w:val="30"/>
          <w:lang w:val="en-US" w:eastAsia="zh-CN"/>
        </w:rPr>
        <w:t>7</w:t>
      </w:r>
      <w:r>
        <w:rPr>
          <w:rFonts w:hint="eastAsia" w:ascii="仿宋_GB2312" w:hAnsi="仿宋_GB2312" w:eastAsia="仿宋_GB2312" w:cs="仿宋_GB2312"/>
          <w:color w:val="000000"/>
          <w:sz w:val="30"/>
          <w:szCs w:val="30"/>
        </w:rPr>
        <w:t>年相比，财政拨款收</w:t>
      </w:r>
      <w:r>
        <w:rPr>
          <w:rFonts w:hint="eastAsia" w:ascii="仿宋_GB2312" w:hAnsi="仿宋_GB2312" w:eastAsia="仿宋_GB2312" w:cs="仿宋_GB2312"/>
          <w:color w:val="000000"/>
          <w:sz w:val="30"/>
          <w:szCs w:val="30"/>
          <w:lang w:eastAsia="zh-CN"/>
        </w:rPr>
        <w:t>入减少</w:t>
      </w:r>
      <w:r>
        <w:rPr>
          <w:rFonts w:hint="eastAsia" w:ascii="仿宋_GB2312" w:hAnsi="仿宋_GB2312" w:eastAsia="仿宋_GB2312" w:cs="仿宋_GB2312"/>
          <w:color w:val="000000"/>
          <w:sz w:val="30"/>
          <w:szCs w:val="30"/>
          <w:lang w:val="en-US" w:eastAsia="zh-CN"/>
        </w:rPr>
        <w:t>3.2万元，</w:t>
      </w:r>
      <w:r>
        <w:rPr>
          <w:rFonts w:hint="eastAsia" w:ascii="仿宋_GB2312" w:hAnsi="仿宋_GB2312" w:eastAsia="仿宋_GB2312" w:cs="仿宋_GB2312"/>
          <w:color w:val="000000"/>
          <w:sz w:val="30"/>
          <w:szCs w:val="30"/>
        </w:rPr>
        <w:t>支</w:t>
      </w:r>
      <w:r>
        <w:rPr>
          <w:rFonts w:hint="eastAsia" w:ascii="仿宋_GB2312" w:hAnsi="仿宋_GB2312" w:eastAsia="仿宋_GB2312" w:cs="仿宋_GB2312"/>
          <w:color w:val="000000"/>
          <w:sz w:val="30"/>
          <w:szCs w:val="30"/>
          <w:lang w:eastAsia="zh-CN"/>
        </w:rPr>
        <w:t>出增多</w:t>
      </w:r>
      <w:r>
        <w:rPr>
          <w:rFonts w:hint="eastAsia" w:ascii="仿宋_GB2312" w:hAnsi="仿宋_GB2312" w:eastAsia="仿宋_GB2312" w:cs="仿宋_GB2312"/>
          <w:color w:val="000000"/>
          <w:sz w:val="30"/>
          <w:szCs w:val="30"/>
          <w:lang w:val="en-US" w:eastAsia="zh-CN"/>
        </w:rPr>
        <w:t>14.93万元。收入</w:t>
      </w:r>
      <w:r>
        <w:rPr>
          <w:rFonts w:hint="eastAsia" w:ascii="仿宋_GB2312" w:hAnsi="仿宋_GB2312" w:eastAsia="仿宋_GB2312" w:cs="仿宋_GB2312"/>
          <w:color w:val="000000"/>
          <w:sz w:val="30"/>
          <w:szCs w:val="30"/>
          <w:lang w:eastAsia="zh-CN"/>
        </w:rPr>
        <w:t>降低</w:t>
      </w:r>
      <w:r>
        <w:rPr>
          <w:rFonts w:hint="eastAsia" w:ascii="仿宋_GB2312" w:hAnsi="仿宋_GB2312" w:eastAsia="仿宋_GB2312" w:cs="仿宋_GB2312"/>
          <w:color w:val="000000"/>
          <w:sz w:val="30"/>
          <w:szCs w:val="30"/>
          <w:lang w:val="en-US" w:eastAsia="zh-CN"/>
        </w:rPr>
        <w:t>0.93</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en-US" w:eastAsia="zh-CN"/>
        </w:rPr>
        <w:t>，支出涨3.06</w:t>
      </w:r>
      <w:r>
        <w:rPr>
          <w:rFonts w:hint="eastAsia" w:ascii="仿宋_GB2312" w:hAnsi="仿宋_GB2312" w:eastAsia="仿宋_GB2312" w:cs="仿宋_GB2312"/>
          <w:color w:val="000000"/>
          <w:sz w:val="30"/>
          <w:szCs w:val="30"/>
        </w:rPr>
        <w:t>%。</w:t>
      </w:r>
    </w:p>
    <w:p>
      <w:pPr>
        <w:numPr>
          <w:ilvl w:val="0"/>
          <w:numId w:val="0"/>
        </w:numPr>
        <w:spacing w:line="600" w:lineRule="exact"/>
        <w:rPr>
          <w:rFonts w:hint="eastAsia" w:ascii="仿宋_GB2312" w:hAnsi="仿宋_GB2312" w:eastAsia="仿宋_GB2312" w:cs="仿宋_GB2312"/>
          <w:color w:val="000000"/>
          <w:sz w:val="30"/>
          <w:szCs w:val="30"/>
        </w:rPr>
      </w:pPr>
    </w:p>
    <w:p>
      <w:pPr>
        <w:numPr>
          <w:ilvl w:val="0"/>
          <w:numId w:val="0"/>
        </w:numPr>
        <w:tabs>
          <w:tab w:val="left" w:pos="448"/>
        </w:tabs>
        <w:spacing w:line="60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drawing>
          <wp:anchor distT="0" distB="0" distL="114300" distR="114300" simplePos="0" relativeHeight="251666432" behindDoc="0" locked="0" layoutInCell="1" allowOverlap="1">
            <wp:simplePos x="0" y="0"/>
            <wp:positionH relativeFrom="column">
              <wp:posOffset>-146685</wp:posOffset>
            </wp:positionH>
            <wp:positionV relativeFrom="paragraph">
              <wp:posOffset>157480</wp:posOffset>
            </wp:positionV>
            <wp:extent cx="5689600" cy="3413760"/>
            <wp:effectExtent l="4445" t="4445" r="20955" b="10795"/>
            <wp:wrapTopAndBottom/>
            <wp:docPr id="10" name="图片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仿宋_GB2312" w:eastAsia="仿宋_GB2312" w:cs="仿宋_GB2312"/>
          <w:color w:val="000000"/>
          <w:sz w:val="30"/>
          <w:szCs w:val="30"/>
          <w:lang w:eastAsia="zh-CN"/>
        </w:rPr>
        <w:tab/>
      </w:r>
    </w:p>
    <w:p>
      <w:pPr>
        <w:spacing w:line="600" w:lineRule="exact"/>
        <w:ind w:firstLine="602" w:firstLineChars="2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lang w:eastAsia="zh-CN"/>
        </w:rPr>
        <w:t>五、</w:t>
      </w:r>
      <w:r>
        <w:rPr>
          <w:rFonts w:hint="eastAsia" w:ascii="仿宋_GB2312" w:hAnsi="仿宋_GB2312" w:eastAsia="仿宋_GB2312" w:cs="仿宋_GB2312"/>
          <w:b/>
          <w:bCs/>
          <w:color w:val="000000"/>
          <w:sz w:val="30"/>
          <w:szCs w:val="30"/>
        </w:rPr>
        <w:t>一般公共预算财政拨款支出决算情况说明</w:t>
      </w:r>
    </w:p>
    <w:p>
      <w:pPr>
        <w:spacing w:line="600" w:lineRule="exact"/>
        <w:ind w:firstLine="602" w:firstLineChars="2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（一）一般公共预算财政拨款支出决算总体情况</w:t>
      </w:r>
    </w:p>
    <w:p>
      <w:pPr>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201</w:t>
      </w:r>
      <w:r>
        <w:rPr>
          <w:rFonts w:hint="eastAsia" w:ascii="仿宋_GB2312" w:hAnsi="仿宋_GB2312" w:eastAsia="仿宋_GB2312" w:cs="仿宋_GB2312"/>
          <w:color w:val="000000"/>
          <w:sz w:val="30"/>
          <w:szCs w:val="30"/>
          <w:lang w:val="en-US" w:eastAsia="zh-CN"/>
        </w:rPr>
        <w:t>8</w:t>
      </w:r>
      <w:r>
        <w:rPr>
          <w:rFonts w:hint="eastAsia" w:ascii="仿宋_GB2312" w:hAnsi="仿宋_GB2312" w:eastAsia="仿宋_GB2312" w:cs="仿宋_GB2312"/>
          <w:color w:val="000000"/>
          <w:sz w:val="30"/>
          <w:szCs w:val="30"/>
        </w:rPr>
        <w:t>年度一般公共预算财政拨款支出</w:t>
      </w:r>
      <w:r>
        <w:rPr>
          <w:rFonts w:hint="eastAsia" w:ascii="仿宋_GB2312" w:hAnsi="仿宋_GB2312" w:eastAsia="仿宋_GB2312" w:cs="仿宋_GB2312"/>
          <w:color w:val="000000"/>
          <w:sz w:val="30"/>
          <w:szCs w:val="30"/>
          <w:lang w:val="en-US" w:eastAsia="zh-CN"/>
        </w:rPr>
        <w:t>349.06</w:t>
      </w:r>
      <w:r>
        <w:rPr>
          <w:rFonts w:hint="eastAsia" w:ascii="仿宋_GB2312" w:hAnsi="仿宋_GB2312" w:eastAsia="仿宋_GB2312" w:cs="仿宋_GB2312"/>
          <w:color w:val="000000"/>
          <w:sz w:val="30"/>
          <w:szCs w:val="30"/>
        </w:rPr>
        <w:t>万元，占本年支出合计的</w:t>
      </w:r>
      <w:r>
        <w:rPr>
          <w:rFonts w:hint="eastAsia" w:ascii="仿宋_GB2312" w:hAnsi="仿宋_GB2312" w:eastAsia="仿宋_GB2312" w:cs="仿宋_GB2312"/>
          <w:color w:val="000000"/>
          <w:sz w:val="30"/>
          <w:szCs w:val="30"/>
          <w:lang w:val="en-US" w:eastAsia="zh-CN"/>
        </w:rPr>
        <w:t>69.48</w:t>
      </w:r>
      <w:r>
        <w:rPr>
          <w:rFonts w:hint="eastAsia" w:ascii="仿宋_GB2312" w:hAnsi="仿宋_GB2312" w:eastAsia="仿宋_GB2312" w:cs="仿宋_GB2312"/>
          <w:color w:val="000000"/>
          <w:sz w:val="30"/>
          <w:szCs w:val="30"/>
        </w:rPr>
        <w:t>%。与201</w:t>
      </w:r>
      <w:r>
        <w:rPr>
          <w:rFonts w:hint="eastAsia" w:ascii="仿宋_GB2312" w:hAnsi="仿宋_GB2312" w:eastAsia="仿宋_GB2312" w:cs="仿宋_GB2312"/>
          <w:color w:val="000000"/>
          <w:sz w:val="30"/>
          <w:szCs w:val="30"/>
          <w:lang w:val="en-US" w:eastAsia="zh-CN"/>
        </w:rPr>
        <w:t>7</w:t>
      </w:r>
      <w:r>
        <w:rPr>
          <w:rFonts w:hint="eastAsia" w:ascii="仿宋_GB2312" w:hAnsi="仿宋_GB2312" w:eastAsia="仿宋_GB2312" w:cs="仿宋_GB2312"/>
          <w:color w:val="000000"/>
          <w:sz w:val="30"/>
          <w:szCs w:val="30"/>
        </w:rPr>
        <w:t>年相比，一般公共预算财政拨款</w:t>
      </w:r>
      <w:r>
        <w:rPr>
          <w:rFonts w:hint="eastAsia" w:ascii="仿宋_GB2312" w:hAnsi="仿宋_GB2312" w:eastAsia="仿宋_GB2312" w:cs="仿宋_GB2312"/>
          <w:color w:val="000000"/>
          <w:sz w:val="30"/>
          <w:szCs w:val="30"/>
          <w:lang w:eastAsia="zh-CN"/>
        </w:rPr>
        <w:t>增加</w:t>
      </w:r>
      <w:r>
        <w:rPr>
          <w:rFonts w:hint="eastAsia" w:ascii="仿宋_GB2312" w:hAnsi="仿宋_GB2312" w:eastAsia="仿宋_GB2312" w:cs="仿宋_GB2312"/>
          <w:color w:val="000000"/>
          <w:sz w:val="30"/>
          <w:szCs w:val="30"/>
          <w:lang w:val="en-US" w:eastAsia="zh-CN"/>
        </w:rPr>
        <w:t>14.03</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000000"/>
          <w:sz w:val="30"/>
          <w:szCs w:val="30"/>
          <w:lang w:eastAsia="zh-CN"/>
        </w:rPr>
        <w:t>涨幅</w:t>
      </w:r>
      <w:r>
        <w:rPr>
          <w:rFonts w:hint="eastAsia" w:ascii="仿宋_GB2312" w:hAnsi="仿宋_GB2312" w:eastAsia="仿宋_GB2312" w:cs="仿宋_GB2312"/>
          <w:color w:val="000000"/>
          <w:sz w:val="30"/>
          <w:szCs w:val="30"/>
          <w:lang w:val="en-US" w:eastAsia="zh-CN"/>
        </w:rPr>
        <w:t>4.18</w:t>
      </w:r>
      <w:r>
        <w:rPr>
          <w:rFonts w:hint="eastAsia" w:ascii="仿宋_GB2312" w:hAnsi="仿宋_GB2312" w:eastAsia="仿宋_GB2312" w:cs="仿宋_GB2312"/>
          <w:color w:val="000000"/>
          <w:sz w:val="30"/>
          <w:szCs w:val="30"/>
        </w:rPr>
        <w:t>%。</w:t>
      </w:r>
    </w:p>
    <w:p>
      <w:pPr>
        <w:spacing w:line="600" w:lineRule="exact"/>
        <w:ind w:firstLine="600" w:firstLineChars="200"/>
        <w:rPr>
          <w:rFonts w:hint="eastAsia" w:ascii="仿宋_GB2312" w:hAnsi="仿宋_GB2312" w:eastAsia="仿宋_GB2312" w:cs="仿宋_GB2312"/>
          <w:color w:val="000000"/>
          <w:sz w:val="30"/>
          <w:szCs w:val="30"/>
          <w:highlight w:val="yellow"/>
        </w:rPr>
      </w:pPr>
    </w:p>
    <w:p>
      <w:pPr>
        <w:spacing w:line="600" w:lineRule="exact"/>
        <w:ind w:firstLine="600" w:firstLineChars="200"/>
        <w:rPr>
          <w:rFonts w:hint="eastAsia" w:ascii="仿宋_GB2312" w:hAnsi="仿宋_GB2312" w:eastAsia="仿宋_GB2312" w:cs="仿宋_GB2312"/>
          <w:color w:val="000000"/>
          <w:sz w:val="30"/>
          <w:szCs w:val="30"/>
          <w:highlight w:val="yellow"/>
        </w:rPr>
      </w:pPr>
    </w:p>
    <w:p>
      <w:pPr>
        <w:spacing w:line="600" w:lineRule="exact"/>
        <w:ind w:firstLine="600" w:firstLineChars="200"/>
        <w:rPr>
          <w:rFonts w:hint="eastAsia" w:ascii="仿宋_GB2312" w:hAnsi="仿宋_GB2312" w:eastAsia="仿宋_GB2312" w:cs="仿宋_GB2312"/>
          <w:color w:val="000000"/>
          <w:sz w:val="30"/>
          <w:szCs w:val="30"/>
          <w:highlight w:val="yellow"/>
        </w:rPr>
      </w:pPr>
      <w:r>
        <w:rPr>
          <w:rFonts w:hint="eastAsia" w:ascii="仿宋_GB2312" w:hAnsi="仿宋_GB2312" w:eastAsia="仿宋_GB2312" w:cs="仿宋_GB2312"/>
          <w:sz w:val="30"/>
          <w:szCs w:val="30"/>
        </w:rPr>
        <w:drawing>
          <wp:anchor distT="0" distB="0" distL="114300" distR="114300" simplePos="0" relativeHeight="251667456" behindDoc="0" locked="0" layoutInCell="1" allowOverlap="1">
            <wp:simplePos x="0" y="0"/>
            <wp:positionH relativeFrom="column">
              <wp:posOffset>299720</wp:posOffset>
            </wp:positionH>
            <wp:positionV relativeFrom="paragraph">
              <wp:posOffset>-548005</wp:posOffset>
            </wp:positionV>
            <wp:extent cx="4572000" cy="2743200"/>
            <wp:effectExtent l="4445" t="4445" r="14605" b="14605"/>
            <wp:wrapSquare wrapText="bothSides"/>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00" w:firstLineChars="200"/>
        <w:rPr>
          <w:rFonts w:hint="eastAsia" w:ascii="仿宋_GB2312" w:hAnsi="仿宋_GB2312" w:eastAsia="仿宋_GB2312" w:cs="仿宋_GB2312"/>
          <w:color w:val="000000"/>
          <w:sz w:val="30"/>
          <w:szCs w:val="30"/>
          <w:highlight w:val="yellow"/>
        </w:rPr>
      </w:pPr>
    </w:p>
    <w:p>
      <w:pPr>
        <w:spacing w:line="600" w:lineRule="exact"/>
        <w:rPr>
          <w:rFonts w:hint="eastAsia" w:ascii="仿宋_GB2312" w:hAnsi="仿宋_GB2312" w:eastAsia="仿宋_GB2312" w:cs="仿宋_GB2312"/>
          <w:color w:val="000000"/>
          <w:sz w:val="30"/>
          <w:szCs w:val="30"/>
          <w:highlight w:val="yellow"/>
        </w:rPr>
      </w:pPr>
    </w:p>
    <w:p>
      <w:pPr>
        <w:spacing w:line="600" w:lineRule="exact"/>
        <w:rPr>
          <w:rFonts w:hint="eastAsia" w:ascii="仿宋_GB2312" w:hAnsi="仿宋_GB2312" w:eastAsia="仿宋_GB2312" w:cs="仿宋_GB2312"/>
          <w:color w:val="000000"/>
          <w:sz w:val="30"/>
          <w:szCs w:val="30"/>
          <w:highlight w:val="yellow"/>
        </w:rPr>
      </w:pPr>
    </w:p>
    <w:p>
      <w:pPr>
        <w:spacing w:line="600" w:lineRule="exact"/>
        <w:rPr>
          <w:rFonts w:hint="eastAsia" w:ascii="仿宋_GB2312" w:hAnsi="仿宋_GB2312" w:eastAsia="仿宋_GB2312" w:cs="仿宋_GB2312"/>
          <w:color w:val="000000"/>
          <w:sz w:val="30"/>
          <w:szCs w:val="30"/>
          <w:highlight w:val="yellow"/>
        </w:rPr>
      </w:pPr>
    </w:p>
    <w:p>
      <w:pPr>
        <w:spacing w:line="600" w:lineRule="exact"/>
        <w:ind w:firstLine="600" w:firstLineChars="200"/>
        <w:rPr>
          <w:rFonts w:hint="eastAsia" w:ascii="仿宋_GB2312" w:hAnsi="仿宋_GB2312" w:eastAsia="仿宋_GB2312" w:cs="仿宋_GB2312"/>
          <w:color w:val="000000"/>
          <w:sz w:val="30"/>
          <w:szCs w:val="30"/>
          <w:highlight w:val="yellow"/>
        </w:rPr>
      </w:pPr>
    </w:p>
    <w:p>
      <w:pPr>
        <w:spacing w:line="600" w:lineRule="exact"/>
        <w:ind w:firstLine="602" w:firstLineChars="2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（二）一般公共预算财政拨款支出决算结构情况</w:t>
      </w:r>
    </w:p>
    <w:p>
      <w:pPr>
        <w:spacing w:line="600" w:lineRule="exact"/>
        <w:ind w:firstLine="64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201</w:t>
      </w:r>
      <w:r>
        <w:rPr>
          <w:rFonts w:hint="eastAsia" w:ascii="仿宋_GB2312" w:hAnsi="仿宋_GB2312" w:eastAsia="仿宋_GB2312" w:cs="仿宋_GB2312"/>
          <w:color w:val="000000"/>
          <w:sz w:val="30"/>
          <w:szCs w:val="30"/>
          <w:lang w:val="en-US" w:eastAsia="zh-CN"/>
        </w:rPr>
        <w:t>8</w:t>
      </w:r>
      <w:r>
        <w:rPr>
          <w:rFonts w:hint="eastAsia" w:ascii="仿宋_GB2312" w:hAnsi="仿宋_GB2312" w:eastAsia="仿宋_GB2312" w:cs="仿宋_GB2312"/>
          <w:color w:val="000000"/>
          <w:sz w:val="30"/>
          <w:szCs w:val="30"/>
        </w:rPr>
        <w:t>年一般公共预算财政拨款支出</w:t>
      </w:r>
      <w:r>
        <w:rPr>
          <w:rFonts w:hint="eastAsia" w:ascii="仿宋_GB2312" w:hAnsi="仿宋_GB2312" w:eastAsia="仿宋_GB2312" w:cs="仿宋_GB2312"/>
          <w:color w:val="000000"/>
          <w:sz w:val="30"/>
          <w:szCs w:val="30"/>
          <w:lang w:val="en-US" w:eastAsia="zh-CN"/>
        </w:rPr>
        <w:t>349.06</w:t>
      </w:r>
      <w:r>
        <w:rPr>
          <w:rFonts w:hint="eastAsia" w:ascii="仿宋_GB2312" w:hAnsi="仿宋_GB2312" w:eastAsia="仿宋_GB2312" w:cs="仿宋_GB2312"/>
          <w:color w:val="000000"/>
          <w:sz w:val="30"/>
          <w:szCs w:val="30"/>
        </w:rPr>
        <w:t>万元，主要用于以下方面:社会保障和就业支出</w:t>
      </w:r>
      <w:r>
        <w:rPr>
          <w:rFonts w:hint="eastAsia" w:ascii="仿宋_GB2312" w:hAnsi="仿宋_GB2312" w:eastAsia="仿宋_GB2312" w:cs="仿宋_GB2312"/>
          <w:color w:val="000000"/>
          <w:sz w:val="30"/>
          <w:szCs w:val="30"/>
          <w:lang w:val="en-US" w:eastAsia="zh-CN"/>
        </w:rPr>
        <w:t>26.34</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7.54</w:t>
      </w:r>
      <w:r>
        <w:rPr>
          <w:rFonts w:hint="eastAsia" w:ascii="仿宋_GB2312" w:hAnsi="仿宋_GB2312" w:eastAsia="仿宋_GB2312" w:cs="仿宋_GB2312"/>
          <w:color w:val="000000"/>
          <w:sz w:val="30"/>
          <w:szCs w:val="30"/>
        </w:rPr>
        <w:t>%；医疗卫生</w:t>
      </w:r>
      <w:r>
        <w:rPr>
          <w:rFonts w:hint="eastAsia" w:ascii="仿宋_GB2312" w:hAnsi="仿宋_GB2312" w:eastAsia="仿宋_GB2312" w:cs="仿宋_GB2312"/>
          <w:color w:val="000000"/>
          <w:sz w:val="30"/>
          <w:szCs w:val="30"/>
          <w:lang w:eastAsia="zh-CN"/>
        </w:rPr>
        <w:t>与计划生育</w:t>
      </w:r>
      <w:r>
        <w:rPr>
          <w:rFonts w:hint="eastAsia" w:ascii="仿宋_GB2312" w:hAnsi="仿宋_GB2312" w:eastAsia="仿宋_GB2312" w:cs="仿宋_GB2312"/>
          <w:color w:val="000000"/>
          <w:sz w:val="30"/>
          <w:szCs w:val="30"/>
        </w:rPr>
        <w:t>支出</w:t>
      </w:r>
      <w:r>
        <w:rPr>
          <w:rFonts w:hint="eastAsia" w:ascii="仿宋_GB2312" w:hAnsi="仿宋_GB2312" w:eastAsia="仿宋_GB2312" w:cs="仿宋_GB2312"/>
          <w:color w:val="000000"/>
          <w:sz w:val="30"/>
          <w:szCs w:val="30"/>
          <w:lang w:val="en-US" w:eastAsia="zh-CN"/>
        </w:rPr>
        <w:t>292.15</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83.69</w:t>
      </w:r>
      <w:r>
        <w:rPr>
          <w:rFonts w:hint="eastAsia" w:ascii="仿宋_GB2312" w:hAnsi="仿宋_GB2312" w:eastAsia="仿宋_GB2312" w:cs="仿宋_GB2312"/>
          <w:color w:val="000000"/>
          <w:sz w:val="30"/>
          <w:szCs w:val="30"/>
        </w:rPr>
        <w:t>%；住房保障支出</w:t>
      </w:r>
      <w:r>
        <w:rPr>
          <w:rFonts w:hint="eastAsia" w:ascii="仿宋_GB2312" w:hAnsi="仿宋_GB2312" w:eastAsia="仿宋_GB2312" w:cs="仿宋_GB2312"/>
          <w:color w:val="000000"/>
          <w:sz w:val="30"/>
          <w:szCs w:val="30"/>
          <w:lang w:val="en-US" w:eastAsia="zh-CN"/>
        </w:rPr>
        <w:t>30.58</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8.77</w:t>
      </w:r>
      <w:r>
        <w:rPr>
          <w:rFonts w:hint="eastAsia" w:ascii="仿宋_GB2312" w:hAnsi="仿宋_GB2312" w:eastAsia="仿宋_GB2312" w:cs="仿宋_GB2312"/>
          <w:color w:val="000000"/>
          <w:sz w:val="30"/>
          <w:szCs w:val="30"/>
        </w:rPr>
        <w:t>%。</w:t>
      </w:r>
    </w:p>
    <w:p>
      <w:pPr>
        <w:spacing w:line="600" w:lineRule="exact"/>
        <w:ind w:firstLine="640"/>
        <w:rPr>
          <w:rFonts w:hint="eastAsia" w:ascii="仿宋_GB2312" w:hAnsi="仿宋_GB2312" w:eastAsia="仿宋_GB2312" w:cs="仿宋_GB2312"/>
          <w:color w:val="000000"/>
          <w:sz w:val="30"/>
          <w:szCs w:val="30"/>
        </w:rPr>
      </w:pPr>
    </w:p>
    <w:p>
      <w:pPr>
        <w:spacing w:line="600" w:lineRule="exact"/>
        <w:ind w:firstLine="600" w:firstLineChars="200"/>
        <w:rPr>
          <w:rFonts w:hint="eastAsia" w:ascii="仿宋_GB2312" w:hAnsi="仿宋_GB2312" w:eastAsia="仿宋_GB2312" w:cs="仿宋_GB2312"/>
          <w:color w:val="000000"/>
          <w:sz w:val="30"/>
          <w:szCs w:val="30"/>
          <w:highlight w:val="yellow"/>
        </w:rPr>
      </w:pPr>
      <w:r>
        <w:rPr>
          <w:rFonts w:hint="eastAsia" w:ascii="仿宋_GB2312" w:hAnsi="仿宋_GB2312" w:eastAsia="仿宋_GB2312" w:cs="仿宋_GB2312"/>
          <w:sz w:val="30"/>
          <w:szCs w:val="30"/>
        </w:rPr>
        <w:drawing>
          <wp:anchor distT="0" distB="0" distL="114300" distR="114300" simplePos="0" relativeHeight="251668480" behindDoc="0" locked="0" layoutInCell="1" allowOverlap="1">
            <wp:simplePos x="0" y="0"/>
            <wp:positionH relativeFrom="column">
              <wp:posOffset>15240</wp:posOffset>
            </wp:positionH>
            <wp:positionV relativeFrom="paragraph">
              <wp:posOffset>86995</wp:posOffset>
            </wp:positionV>
            <wp:extent cx="5547995" cy="3329940"/>
            <wp:effectExtent l="4445" t="5080" r="10160" b="17780"/>
            <wp:wrapSquare wrapText="bothSides"/>
            <wp:docPr id="11" name="图片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00" w:firstLineChars="200"/>
        <w:rPr>
          <w:rFonts w:hint="eastAsia" w:ascii="仿宋_GB2312" w:hAnsi="仿宋_GB2312" w:eastAsia="仿宋_GB2312" w:cs="仿宋_GB2312"/>
          <w:color w:val="000000"/>
          <w:sz w:val="30"/>
          <w:szCs w:val="30"/>
          <w:highlight w:val="yellow"/>
        </w:rPr>
      </w:pPr>
    </w:p>
    <w:p>
      <w:pPr>
        <w:spacing w:line="600" w:lineRule="exact"/>
        <w:ind w:firstLine="602" w:firstLineChars="2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六、一般公共预算财政拨款基本支出决算情况说明</w:t>
      </w:r>
    </w:p>
    <w:p>
      <w:pPr>
        <w:spacing w:line="600" w:lineRule="exact"/>
        <w:ind w:firstLine="645"/>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201</w:t>
      </w:r>
      <w:r>
        <w:rPr>
          <w:rFonts w:hint="eastAsia" w:ascii="仿宋_GB2312" w:hAnsi="仿宋_GB2312" w:eastAsia="仿宋_GB2312" w:cs="仿宋_GB2312"/>
          <w:color w:val="000000"/>
          <w:sz w:val="30"/>
          <w:szCs w:val="30"/>
          <w:lang w:val="en-US" w:eastAsia="zh-CN"/>
        </w:rPr>
        <w:t>8</w:t>
      </w:r>
      <w:r>
        <w:rPr>
          <w:rFonts w:hint="eastAsia" w:ascii="仿宋_GB2312" w:hAnsi="仿宋_GB2312" w:eastAsia="仿宋_GB2312" w:cs="仿宋_GB2312"/>
          <w:color w:val="000000"/>
          <w:sz w:val="30"/>
          <w:szCs w:val="30"/>
        </w:rPr>
        <w:t>年度一般公共预算财政拨款基本支出</w:t>
      </w:r>
      <w:r>
        <w:rPr>
          <w:rFonts w:hint="eastAsia" w:ascii="仿宋_GB2312" w:hAnsi="仿宋_GB2312" w:eastAsia="仿宋_GB2312" w:cs="仿宋_GB2312"/>
          <w:color w:val="000000"/>
          <w:sz w:val="30"/>
          <w:szCs w:val="30"/>
          <w:lang w:val="en-US" w:eastAsia="zh-CN"/>
        </w:rPr>
        <w:t>349.06</w:t>
      </w:r>
      <w:r>
        <w:rPr>
          <w:rFonts w:hint="eastAsia" w:ascii="仿宋_GB2312" w:hAnsi="仿宋_GB2312" w:eastAsia="仿宋_GB2312" w:cs="仿宋_GB2312"/>
          <w:color w:val="000000"/>
          <w:sz w:val="30"/>
          <w:szCs w:val="30"/>
        </w:rPr>
        <w:t>万元，其中：</w:t>
      </w:r>
    </w:p>
    <w:p>
      <w:pPr>
        <w:spacing w:line="600" w:lineRule="exact"/>
        <w:ind w:firstLine="645"/>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人员经费</w:t>
      </w:r>
      <w:r>
        <w:rPr>
          <w:rFonts w:hint="eastAsia" w:ascii="仿宋_GB2312" w:hAnsi="仿宋_GB2312" w:eastAsia="仿宋_GB2312" w:cs="仿宋_GB2312"/>
          <w:color w:val="000000"/>
          <w:sz w:val="30"/>
          <w:szCs w:val="30"/>
          <w:lang w:val="en-US" w:eastAsia="zh-CN"/>
        </w:rPr>
        <w:t>251.52</w:t>
      </w:r>
      <w:r>
        <w:rPr>
          <w:rFonts w:hint="eastAsia" w:ascii="仿宋_GB2312" w:hAnsi="仿宋_GB2312" w:eastAsia="仿宋_GB2312" w:cs="仿宋_GB2312"/>
          <w:color w:val="000000"/>
          <w:sz w:val="30"/>
          <w:szCs w:val="30"/>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_GB2312" w:hAnsi="仿宋_GB2312" w:eastAsia="仿宋_GB2312" w:cs="仿宋_GB2312"/>
          <w:color w:val="000000"/>
          <w:sz w:val="30"/>
          <w:szCs w:val="30"/>
        </w:rPr>
        <w:br w:type="textWrapping"/>
      </w:r>
      <w:r>
        <w:rPr>
          <w:rFonts w:hint="eastAsia" w:ascii="仿宋_GB2312" w:hAnsi="仿宋_GB2312" w:eastAsia="仿宋_GB2312" w:cs="仿宋_GB2312"/>
          <w:color w:val="000000"/>
          <w:sz w:val="30"/>
          <w:szCs w:val="30"/>
        </w:rPr>
        <w:t>　　公用经费</w:t>
      </w:r>
      <w:r>
        <w:rPr>
          <w:rFonts w:hint="eastAsia" w:ascii="仿宋_GB2312" w:hAnsi="仿宋_GB2312" w:eastAsia="仿宋_GB2312" w:cs="仿宋_GB2312"/>
          <w:color w:val="000000"/>
          <w:sz w:val="30"/>
          <w:szCs w:val="30"/>
          <w:lang w:val="en-US" w:eastAsia="zh-CN"/>
        </w:rPr>
        <w:t>97.54</w:t>
      </w:r>
      <w:r>
        <w:rPr>
          <w:rFonts w:hint="eastAsia" w:ascii="仿宋_GB2312" w:hAnsi="仿宋_GB2312" w:eastAsia="仿宋_GB2312" w:cs="仿宋_GB2312"/>
          <w:color w:val="000000"/>
          <w:sz w:val="30"/>
          <w:szCs w:val="30"/>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七、“三公”经费财政拨款支出决算情况说明</w:t>
      </w:r>
    </w:p>
    <w:p>
      <w:pPr>
        <w:tabs>
          <w:tab w:val="right" w:pos="7666"/>
        </w:tabs>
        <w:spacing w:line="600" w:lineRule="exact"/>
        <w:ind w:firstLine="640"/>
        <w:rPr>
          <w:rFonts w:hint="eastAsia" w:ascii="仿宋_GB2312" w:hAnsi="仿宋_GB2312" w:eastAsia="仿宋_GB2312" w:cs="仿宋_GB2312"/>
          <w:color w:val="000000"/>
          <w:sz w:val="30"/>
          <w:szCs w:val="30"/>
        </w:rPr>
      </w:pPr>
      <w:r>
        <w:rPr>
          <w:rFonts w:hint="eastAsia" w:ascii="仿宋_GB2312" w:hAnsi="仿宋_GB2312" w:eastAsia="仿宋_GB2312" w:cs="仿宋_GB2312"/>
          <w:b/>
          <w:color w:val="000000"/>
          <w:sz w:val="30"/>
          <w:szCs w:val="30"/>
        </w:rPr>
        <w:t>（一）“三公”经费财政拨款支出决算总体情况说明</w:t>
      </w:r>
      <w:r>
        <w:rPr>
          <w:rFonts w:hint="eastAsia" w:ascii="仿宋_GB2312" w:hAnsi="仿宋_GB2312" w:eastAsia="仿宋_GB2312" w:cs="仿宋_GB2312"/>
          <w:b/>
          <w:color w:val="000000"/>
          <w:sz w:val="30"/>
          <w:szCs w:val="30"/>
          <w:lang w:eastAsia="zh-CN"/>
        </w:rPr>
        <w:tab/>
      </w:r>
      <w:r>
        <w:rPr>
          <w:rFonts w:hint="eastAsia" w:ascii="仿宋_GB2312" w:hAnsi="仿宋_GB2312" w:eastAsia="仿宋_GB2312" w:cs="仿宋_GB2312"/>
          <w:b/>
          <w:color w:val="000000"/>
          <w:sz w:val="30"/>
          <w:szCs w:val="30"/>
          <w:lang w:val="en-US" w:eastAsia="zh-CN"/>
        </w:rPr>
        <w:t xml:space="preserve">    </w:t>
      </w:r>
      <w:r>
        <w:rPr>
          <w:rFonts w:hint="eastAsia" w:ascii="仿宋_GB2312" w:hAnsi="仿宋_GB2312" w:eastAsia="仿宋_GB2312" w:cs="仿宋_GB2312"/>
          <w:color w:val="000000"/>
          <w:sz w:val="30"/>
          <w:szCs w:val="30"/>
          <w:lang w:eastAsia="zh-CN"/>
        </w:rPr>
        <w:t>201</w:t>
      </w:r>
      <w:r>
        <w:rPr>
          <w:rFonts w:hint="eastAsia" w:ascii="仿宋_GB2312" w:hAnsi="仿宋_GB2312" w:eastAsia="仿宋_GB2312" w:cs="仿宋_GB2312"/>
          <w:color w:val="000000"/>
          <w:sz w:val="30"/>
          <w:szCs w:val="30"/>
          <w:lang w:val="en-US" w:eastAsia="zh-CN"/>
        </w:rPr>
        <w:t>8</w:t>
      </w:r>
      <w:r>
        <w:rPr>
          <w:rFonts w:hint="eastAsia" w:ascii="仿宋_GB2312" w:hAnsi="仿宋_GB2312" w:eastAsia="仿宋_GB2312" w:cs="仿宋_GB2312"/>
          <w:color w:val="000000"/>
          <w:sz w:val="30"/>
          <w:szCs w:val="30"/>
        </w:rPr>
        <w:t>年因公出国（境）费0万元,较201</w:t>
      </w:r>
      <w:r>
        <w:rPr>
          <w:rFonts w:hint="eastAsia" w:ascii="仿宋_GB2312" w:hAnsi="仿宋_GB2312" w:eastAsia="仿宋_GB2312" w:cs="仿宋_GB2312"/>
          <w:color w:val="000000"/>
          <w:sz w:val="30"/>
          <w:szCs w:val="30"/>
          <w:lang w:val="en-US" w:eastAsia="zh-CN"/>
        </w:rPr>
        <w:t>7</w:t>
      </w:r>
      <w:r>
        <w:rPr>
          <w:rFonts w:hint="eastAsia" w:ascii="仿宋_GB2312" w:hAnsi="仿宋_GB2312" w:eastAsia="仿宋_GB2312" w:cs="仿宋_GB2312"/>
          <w:color w:val="000000"/>
          <w:sz w:val="30"/>
          <w:szCs w:val="30"/>
        </w:rPr>
        <w:t>年决算数持平。</w:t>
      </w:r>
    </w:p>
    <w:p>
      <w:pPr>
        <w:spacing w:line="620" w:lineRule="exact"/>
        <w:ind w:firstLine="64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201</w:t>
      </w:r>
      <w:r>
        <w:rPr>
          <w:rFonts w:hint="eastAsia" w:ascii="仿宋_GB2312" w:hAnsi="仿宋_GB2312" w:eastAsia="仿宋_GB2312" w:cs="仿宋_GB2312"/>
          <w:color w:val="000000"/>
          <w:sz w:val="30"/>
          <w:szCs w:val="30"/>
          <w:lang w:val="en-US" w:eastAsia="zh-CN"/>
        </w:rPr>
        <w:t>8</w:t>
      </w:r>
      <w:r>
        <w:rPr>
          <w:rFonts w:hint="eastAsia" w:ascii="仿宋_GB2312" w:hAnsi="仿宋_GB2312" w:eastAsia="仿宋_GB2312" w:cs="仿宋_GB2312"/>
          <w:color w:val="000000"/>
          <w:sz w:val="30"/>
          <w:szCs w:val="30"/>
        </w:rPr>
        <w:t>年因公出国（境）团组0次，出国（境）0人。主要原因近年无因公出国.</w:t>
      </w:r>
    </w:p>
    <w:p>
      <w:pPr>
        <w:tabs>
          <w:tab w:val="right" w:pos="7666"/>
        </w:tabs>
        <w:spacing w:line="600" w:lineRule="exact"/>
        <w:ind w:firstLine="640"/>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（二）公务接待费</w:t>
      </w:r>
    </w:p>
    <w:p>
      <w:pPr>
        <w:spacing w:line="620" w:lineRule="exact"/>
        <w:ind w:firstLine="640"/>
        <w:rPr>
          <w:rFonts w:hint="eastAsia" w:ascii="仿宋_GB2312" w:hAnsi="仿宋_GB2312" w:eastAsia="仿宋_GB2312" w:cs="仿宋_GB2312"/>
          <w:color w:val="0000FF"/>
          <w:sz w:val="30"/>
          <w:szCs w:val="30"/>
        </w:rPr>
      </w:pPr>
      <w:r>
        <w:rPr>
          <w:rFonts w:hint="eastAsia" w:ascii="仿宋_GB2312" w:hAnsi="仿宋_GB2312" w:eastAsia="仿宋_GB2312" w:cs="仿宋_GB2312"/>
          <w:color w:val="000000"/>
          <w:sz w:val="30"/>
          <w:szCs w:val="30"/>
          <w:lang w:eastAsia="zh-CN"/>
        </w:rPr>
        <w:t>201</w:t>
      </w:r>
      <w:r>
        <w:rPr>
          <w:rFonts w:hint="eastAsia" w:ascii="仿宋_GB2312" w:hAnsi="仿宋_GB2312" w:eastAsia="仿宋_GB2312" w:cs="仿宋_GB2312"/>
          <w:color w:val="000000"/>
          <w:sz w:val="30"/>
          <w:szCs w:val="30"/>
          <w:lang w:val="en-US" w:eastAsia="zh-CN"/>
        </w:rPr>
        <w:t>8</w:t>
      </w:r>
      <w:r>
        <w:rPr>
          <w:rFonts w:hint="eastAsia" w:ascii="仿宋_GB2312" w:hAnsi="仿宋_GB2312" w:eastAsia="仿宋_GB2312" w:cs="仿宋_GB2312"/>
          <w:color w:val="000000"/>
          <w:sz w:val="30"/>
          <w:szCs w:val="30"/>
        </w:rPr>
        <w:t>年公务接待费</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万元,较201</w:t>
      </w:r>
      <w:r>
        <w:rPr>
          <w:rFonts w:hint="eastAsia" w:ascii="仿宋_GB2312" w:hAnsi="仿宋_GB2312" w:eastAsia="仿宋_GB2312" w:cs="仿宋_GB2312"/>
          <w:color w:val="000000"/>
          <w:sz w:val="30"/>
          <w:szCs w:val="30"/>
          <w:lang w:val="en-US" w:eastAsia="zh-CN"/>
        </w:rPr>
        <w:t>7</w:t>
      </w:r>
      <w:r>
        <w:rPr>
          <w:rFonts w:hint="eastAsia" w:ascii="仿宋_GB2312" w:hAnsi="仿宋_GB2312" w:eastAsia="仿宋_GB2312" w:cs="仿宋_GB2312"/>
          <w:color w:val="000000"/>
          <w:sz w:val="30"/>
          <w:szCs w:val="30"/>
        </w:rPr>
        <w:t>年决算数持平</w:t>
      </w:r>
      <w:r>
        <w:rPr>
          <w:rFonts w:hint="eastAsia" w:ascii="仿宋_GB2312" w:hAnsi="仿宋_GB2312" w:eastAsia="仿宋_GB2312" w:cs="仿宋_GB2312"/>
          <w:color w:val="000000"/>
          <w:sz w:val="30"/>
          <w:szCs w:val="30"/>
          <w:lang w:eastAsia="zh-CN"/>
        </w:rPr>
        <w:t>。</w:t>
      </w:r>
    </w:p>
    <w:p>
      <w:pPr>
        <w:tabs>
          <w:tab w:val="right" w:pos="7666"/>
        </w:tabs>
        <w:spacing w:line="600" w:lineRule="exact"/>
        <w:ind w:firstLine="640"/>
        <w:rPr>
          <w:rFonts w:hint="eastAsia" w:ascii="仿宋_GB2312" w:hAnsi="仿宋_GB2312" w:eastAsia="仿宋_GB2312" w:cs="仿宋_GB2312"/>
          <w:b/>
          <w:bCs w:val="0"/>
          <w:color w:val="000000"/>
          <w:sz w:val="30"/>
          <w:szCs w:val="30"/>
        </w:rPr>
      </w:pPr>
      <w:r>
        <w:rPr>
          <w:rFonts w:hint="eastAsia" w:ascii="仿宋_GB2312" w:hAnsi="仿宋_GB2312" w:eastAsia="仿宋_GB2312" w:cs="仿宋_GB2312"/>
          <w:b/>
          <w:bCs w:val="0"/>
          <w:color w:val="000000"/>
          <w:sz w:val="30"/>
          <w:szCs w:val="30"/>
        </w:rPr>
        <w:t>（三）公务用车购置及运行维护费</w:t>
      </w:r>
    </w:p>
    <w:p>
      <w:pPr>
        <w:spacing w:line="620" w:lineRule="exact"/>
        <w:ind w:firstLine="64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201</w:t>
      </w:r>
      <w:r>
        <w:rPr>
          <w:rFonts w:hint="eastAsia" w:ascii="仿宋_GB2312" w:hAnsi="仿宋_GB2312" w:eastAsia="仿宋_GB2312" w:cs="仿宋_GB2312"/>
          <w:color w:val="000000"/>
          <w:sz w:val="30"/>
          <w:szCs w:val="30"/>
          <w:lang w:val="en-US" w:eastAsia="zh-CN"/>
        </w:rPr>
        <w:t>8</w:t>
      </w:r>
      <w:r>
        <w:rPr>
          <w:rFonts w:hint="eastAsia" w:ascii="仿宋_GB2312" w:hAnsi="仿宋_GB2312" w:eastAsia="仿宋_GB2312" w:cs="仿宋_GB2312"/>
          <w:color w:val="000000"/>
          <w:sz w:val="30"/>
          <w:szCs w:val="30"/>
        </w:rPr>
        <w:t>年公务用车购置及运行维护费</w:t>
      </w:r>
      <w:r>
        <w:rPr>
          <w:rFonts w:hint="eastAsia" w:ascii="仿宋_GB2312" w:hAnsi="仿宋_GB2312" w:eastAsia="仿宋_GB2312" w:cs="仿宋_GB2312"/>
          <w:color w:val="000000"/>
          <w:sz w:val="30"/>
          <w:szCs w:val="30"/>
          <w:lang w:val="en-US" w:eastAsia="zh-CN"/>
        </w:rPr>
        <w:t>0.86</w:t>
      </w:r>
      <w:r>
        <w:rPr>
          <w:rFonts w:hint="eastAsia" w:ascii="仿宋_GB2312" w:hAnsi="仿宋_GB2312" w:eastAsia="仿宋_GB2312" w:cs="仿宋_GB2312"/>
          <w:color w:val="000000"/>
          <w:sz w:val="30"/>
          <w:szCs w:val="30"/>
        </w:rPr>
        <w:t>万元,较201</w:t>
      </w:r>
      <w:r>
        <w:rPr>
          <w:rFonts w:hint="eastAsia" w:ascii="仿宋_GB2312" w:hAnsi="仿宋_GB2312" w:eastAsia="仿宋_GB2312" w:cs="仿宋_GB2312"/>
          <w:color w:val="000000"/>
          <w:sz w:val="30"/>
          <w:szCs w:val="30"/>
          <w:lang w:val="en-US" w:eastAsia="zh-CN"/>
        </w:rPr>
        <w:t>7</w:t>
      </w:r>
      <w:r>
        <w:rPr>
          <w:rFonts w:hint="eastAsia" w:ascii="仿宋_GB2312" w:hAnsi="仿宋_GB2312" w:eastAsia="仿宋_GB2312" w:cs="仿宋_GB2312"/>
          <w:color w:val="000000"/>
          <w:sz w:val="30"/>
          <w:szCs w:val="30"/>
        </w:rPr>
        <w:t>年决算数</w:t>
      </w:r>
      <w:r>
        <w:rPr>
          <w:rFonts w:hint="eastAsia" w:ascii="仿宋_GB2312" w:hAnsi="仿宋_GB2312" w:eastAsia="仿宋_GB2312" w:cs="仿宋_GB2312"/>
          <w:color w:val="000000"/>
          <w:sz w:val="30"/>
          <w:szCs w:val="30"/>
          <w:lang w:eastAsia="zh-CN"/>
        </w:rPr>
        <w:t>有所下降。</w:t>
      </w:r>
    </w:p>
    <w:p>
      <w:pPr>
        <w:spacing w:line="600" w:lineRule="exact"/>
        <w:rPr>
          <w:rFonts w:hint="eastAsia" w:ascii="仿宋_GB2312" w:hAnsi="仿宋_GB2312" w:eastAsia="仿宋_GB2312" w:cs="仿宋_GB2312"/>
          <w:b/>
          <w:color w:val="000000"/>
          <w:sz w:val="30"/>
          <w:szCs w:val="30"/>
        </w:rPr>
      </w:pP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b/>
          <w:color w:val="000000"/>
          <w:sz w:val="30"/>
          <w:szCs w:val="30"/>
        </w:rPr>
        <w:t>（二）“三公”经费财政拨款支出决算具体情况说明</w:t>
      </w:r>
    </w:p>
    <w:p>
      <w:pPr>
        <w:spacing w:line="600" w:lineRule="exact"/>
        <w:ind w:firstLine="640"/>
        <w:rPr>
          <w:rFonts w:hint="eastAsia" w:ascii="仿宋_GB2312" w:hAnsi="仿宋_GB2312" w:eastAsia="仿宋_GB2312" w:cs="仿宋_GB2312"/>
          <w:b/>
          <w:color w:val="000000"/>
          <w:sz w:val="30"/>
          <w:szCs w:val="30"/>
        </w:rPr>
      </w:pPr>
      <w:r>
        <w:rPr>
          <w:rFonts w:hint="eastAsia" w:ascii="仿宋_GB2312" w:hAnsi="仿宋_GB2312" w:eastAsia="仿宋_GB2312" w:cs="仿宋_GB2312"/>
          <w:color w:val="000000"/>
          <w:sz w:val="30"/>
          <w:szCs w:val="30"/>
        </w:rPr>
        <w:t>201</w:t>
      </w:r>
      <w:r>
        <w:rPr>
          <w:rFonts w:hint="eastAsia" w:ascii="仿宋_GB2312" w:hAnsi="仿宋_GB2312" w:eastAsia="仿宋_GB2312" w:cs="仿宋_GB2312"/>
          <w:color w:val="000000"/>
          <w:sz w:val="30"/>
          <w:szCs w:val="30"/>
          <w:lang w:val="en-US" w:eastAsia="zh-CN"/>
        </w:rPr>
        <w:t>8</w:t>
      </w:r>
      <w:r>
        <w:rPr>
          <w:rFonts w:hint="eastAsia" w:ascii="仿宋_GB2312" w:hAnsi="仿宋_GB2312" w:eastAsia="仿宋_GB2312" w:cs="仿宋_GB2312"/>
          <w:color w:val="000000"/>
          <w:sz w:val="30"/>
          <w:szCs w:val="30"/>
        </w:rPr>
        <w:t>年度“三公”经费财政拨款支出决算中，因公出国（境）费支出决算</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万元，公务用车购置及运行维护费支出决算</w:t>
      </w:r>
      <w:r>
        <w:rPr>
          <w:rFonts w:hint="eastAsia" w:ascii="仿宋_GB2312" w:hAnsi="仿宋_GB2312" w:eastAsia="仿宋_GB2312" w:cs="仿宋_GB2312"/>
          <w:color w:val="000000"/>
          <w:sz w:val="30"/>
          <w:szCs w:val="30"/>
          <w:lang w:val="en-US" w:eastAsia="zh-CN"/>
        </w:rPr>
        <w:t>0.86</w:t>
      </w:r>
      <w:r>
        <w:rPr>
          <w:rFonts w:hint="eastAsia" w:ascii="仿宋_GB2312" w:hAnsi="仿宋_GB2312" w:eastAsia="仿宋_GB2312" w:cs="仿宋_GB2312"/>
          <w:color w:val="000000"/>
          <w:sz w:val="30"/>
          <w:szCs w:val="30"/>
        </w:rPr>
        <w:t>万元，占</w:t>
      </w:r>
      <w:r>
        <w:rPr>
          <w:rFonts w:hint="eastAsia" w:ascii="仿宋_GB2312" w:hAnsi="仿宋_GB2312" w:eastAsia="仿宋_GB2312" w:cs="仿宋_GB2312"/>
          <w:color w:val="000000"/>
          <w:sz w:val="30"/>
          <w:szCs w:val="30"/>
          <w:lang w:val="en-US" w:eastAsia="zh-CN"/>
        </w:rPr>
        <w:t>100</w:t>
      </w:r>
      <w:r>
        <w:rPr>
          <w:rFonts w:hint="eastAsia" w:ascii="仿宋_GB2312" w:hAnsi="仿宋_GB2312" w:eastAsia="仿宋_GB2312" w:cs="仿宋_GB2312"/>
          <w:color w:val="000000"/>
          <w:sz w:val="30"/>
          <w:szCs w:val="30"/>
        </w:rPr>
        <w:t>%；公务接待费支出决算</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万元，具体情况如下：</w:t>
      </w:r>
      <w:r>
        <w:rPr>
          <w:rFonts w:hint="eastAsia" w:ascii="仿宋_GB2312" w:hAnsi="仿宋_GB2312" w:eastAsia="仿宋_GB2312" w:cs="仿宋_GB2312"/>
          <w:sz w:val="30"/>
          <w:szCs w:val="30"/>
        </w:rPr>
        <w:drawing>
          <wp:anchor distT="0" distB="0" distL="114300" distR="114300" simplePos="0" relativeHeight="251669504" behindDoc="0" locked="0" layoutInCell="1" allowOverlap="1">
            <wp:simplePos x="0" y="0"/>
            <wp:positionH relativeFrom="column">
              <wp:posOffset>278130</wp:posOffset>
            </wp:positionH>
            <wp:positionV relativeFrom="paragraph">
              <wp:posOffset>328930</wp:posOffset>
            </wp:positionV>
            <wp:extent cx="5081905" cy="3177540"/>
            <wp:effectExtent l="4445" t="4445" r="19050" b="18415"/>
            <wp:wrapSquare wrapText="bothSides"/>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1.因公出国（境）经费支出</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w:t>
      </w:r>
    </w:p>
    <w:p>
      <w:pPr>
        <w:spacing w:line="60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color w:val="000000"/>
          <w:sz w:val="30"/>
          <w:szCs w:val="30"/>
        </w:rPr>
        <w:t>2.公务用车购置及运行维护费支出</w:t>
      </w:r>
      <w:r>
        <w:rPr>
          <w:rFonts w:hint="eastAsia" w:ascii="仿宋_GB2312" w:hAnsi="仿宋_GB2312" w:eastAsia="仿宋_GB2312" w:cs="仿宋_GB2312"/>
          <w:color w:val="000000"/>
          <w:sz w:val="30"/>
          <w:szCs w:val="30"/>
          <w:lang w:val="en-US" w:eastAsia="zh-CN"/>
        </w:rPr>
        <w:t>0.86</w:t>
      </w:r>
      <w:r>
        <w:rPr>
          <w:rFonts w:hint="eastAsia" w:ascii="仿宋_GB2312" w:hAnsi="仿宋_GB2312" w:eastAsia="仿宋_GB2312" w:cs="仿宋_GB2312"/>
          <w:color w:val="000000"/>
          <w:sz w:val="30"/>
          <w:szCs w:val="30"/>
        </w:rPr>
        <w:t>万元。其中：</w:t>
      </w:r>
    </w:p>
    <w:p>
      <w:pPr>
        <w:spacing w:line="600" w:lineRule="exact"/>
        <w:ind w:firstLine="602" w:firstLineChars="200"/>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公务用车购置支出</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万元。截至201</w:t>
      </w:r>
      <w:r>
        <w:rPr>
          <w:rFonts w:hint="eastAsia" w:ascii="仿宋_GB2312" w:hAnsi="仿宋_GB2312" w:eastAsia="仿宋_GB2312" w:cs="仿宋_GB2312"/>
          <w:color w:val="000000"/>
          <w:sz w:val="30"/>
          <w:szCs w:val="30"/>
          <w:lang w:val="en-US" w:eastAsia="zh-CN"/>
        </w:rPr>
        <w:t>8</w:t>
      </w:r>
      <w:r>
        <w:rPr>
          <w:rFonts w:hint="eastAsia" w:ascii="仿宋_GB2312" w:hAnsi="仿宋_GB2312" w:eastAsia="仿宋_GB2312" w:cs="仿宋_GB2312"/>
          <w:color w:val="000000"/>
          <w:sz w:val="30"/>
          <w:szCs w:val="30"/>
        </w:rPr>
        <w:t>年12月底，单位共有公务用车</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辆，其中：越野车</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rPr>
        <w:t>辆、</w:t>
      </w:r>
      <w:r>
        <w:rPr>
          <w:rFonts w:hint="eastAsia" w:ascii="仿宋_GB2312" w:hAnsi="仿宋_GB2312" w:eastAsia="仿宋_GB2312" w:cs="仿宋_GB2312"/>
          <w:color w:val="000000"/>
          <w:sz w:val="30"/>
          <w:szCs w:val="30"/>
          <w:lang w:eastAsia="zh-CN"/>
        </w:rPr>
        <w:t>救护车</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rPr>
        <w:t>辆。</w:t>
      </w:r>
    </w:p>
    <w:p>
      <w:pPr>
        <w:spacing w:line="600" w:lineRule="exact"/>
        <w:ind w:firstLine="640"/>
        <w:rPr>
          <w:rFonts w:hint="eastAsia" w:ascii="仿宋_GB2312" w:hAnsi="仿宋_GB2312" w:eastAsia="仿宋_GB2312" w:cs="仿宋_GB2312"/>
          <w:color w:val="000000"/>
          <w:sz w:val="30"/>
          <w:szCs w:val="30"/>
        </w:rPr>
      </w:pPr>
      <w:r>
        <w:rPr>
          <w:rFonts w:hint="eastAsia" w:ascii="仿宋_GB2312" w:hAnsi="仿宋_GB2312" w:eastAsia="仿宋_GB2312" w:cs="仿宋_GB2312"/>
          <w:b/>
          <w:color w:val="000000"/>
          <w:sz w:val="30"/>
          <w:szCs w:val="30"/>
        </w:rPr>
        <w:t>公务用车运行维护费支出</w:t>
      </w:r>
      <w:r>
        <w:rPr>
          <w:rFonts w:hint="eastAsia" w:ascii="仿宋_GB2312" w:hAnsi="仿宋_GB2312" w:eastAsia="仿宋_GB2312" w:cs="仿宋_GB2312"/>
          <w:color w:val="000000"/>
          <w:sz w:val="30"/>
          <w:szCs w:val="30"/>
          <w:lang w:val="en-US" w:eastAsia="zh-CN"/>
        </w:rPr>
        <w:t>0.86</w:t>
      </w:r>
      <w:r>
        <w:rPr>
          <w:rFonts w:hint="eastAsia" w:ascii="仿宋_GB2312" w:hAnsi="仿宋_GB2312" w:eastAsia="仿宋_GB2312" w:cs="仿宋_GB2312"/>
          <w:color w:val="000000"/>
          <w:sz w:val="30"/>
          <w:szCs w:val="30"/>
        </w:rPr>
        <w:t>万元。主要用于</w:t>
      </w:r>
      <w:r>
        <w:rPr>
          <w:rFonts w:hint="eastAsia" w:ascii="仿宋_GB2312" w:hAnsi="仿宋_GB2312" w:eastAsia="仿宋_GB2312" w:cs="仿宋_GB2312"/>
          <w:color w:val="000000"/>
          <w:sz w:val="30"/>
          <w:szCs w:val="30"/>
          <w:lang w:eastAsia="zh-CN"/>
        </w:rPr>
        <w:t>大田医院</w:t>
      </w:r>
      <w:r>
        <w:rPr>
          <w:rFonts w:hint="eastAsia" w:ascii="仿宋_GB2312" w:hAnsi="仿宋_GB2312" w:eastAsia="仿宋_GB2312" w:cs="仿宋_GB2312"/>
          <w:color w:val="000000"/>
          <w:sz w:val="30"/>
          <w:szCs w:val="30"/>
        </w:rPr>
        <w:t>基本医疗和基本公共卫生工作等所需的公务用车燃料费、维修费、过路过桥费、保险费等支出。</w:t>
      </w:r>
    </w:p>
    <w:p>
      <w:pPr>
        <w:spacing w:line="600" w:lineRule="exact"/>
        <w:ind w:firstLine="640"/>
        <w:rPr>
          <w:rFonts w:hint="eastAsia" w:ascii="仿宋_GB2312" w:hAnsi="仿宋_GB2312" w:eastAsia="仿宋_GB2312" w:cs="仿宋_GB2312"/>
          <w:b/>
          <w:color w:val="000000"/>
          <w:sz w:val="30"/>
          <w:szCs w:val="30"/>
          <w:lang w:val="en-US" w:eastAsia="zh-CN"/>
        </w:rPr>
      </w:pPr>
      <w:r>
        <w:rPr>
          <w:rFonts w:hint="eastAsia" w:ascii="仿宋_GB2312" w:hAnsi="仿宋_GB2312" w:eastAsia="仿宋_GB2312" w:cs="仿宋_GB2312"/>
          <w:color w:val="000000"/>
          <w:sz w:val="30"/>
          <w:szCs w:val="30"/>
        </w:rPr>
        <w:t>公务用车购置及运行维护费支出决算比201</w:t>
      </w:r>
      <w:r>
        <w:rPr>
          <w:rFonts w:hint="eastAsia" w:ascii="仿宋_GB2312" w:hAnsi="仿宋_GB2312" w:eastAsia="仿宋_GB2312" w:cs="仿宋_GB2312"/>
          <w:color w:val="000000"/>
          <w:sz w:val="30"/>
          <w:szCs w:val="30"/>
          <w:lang w:val="en-US" w:eastAsia="zh-CN"/>
        </w:rPr>
        <w:t>7</w:t>
      </w:r>
      <w:r>
        <w:rPr>
          <w:rFonts w:hint="eastAsia" w:ascii="仿宋_GB2312" w:hAnsi="仿宋_GB2312" w:eastAsia="仿宋_GB2312" w:cs="仿宋_GB2312"/>
          <w:color w:val="000000"/>
          <w:sz w:val="30"/>
          <w:szCs w:val="30"/>
        </w:rPr>
        <w:t>年减少</w:t>
      </w:r>
      <w:r>
        <w:rPr>
          <w:rFonts w:hint="eastAsia" w:ascii="仿宋_GB2312" w:hAnsi="仿宋_GB2312" w:eastAsia="仿宋_GB2312" w:cs="仿宋_GB2312"/>
          <w:color w:val="000000"/>
          <w:sz w:val="30"/>
          <w:szCs w:val="30"/>
          <w:lang w:val="en-US" w:eastAsia="zh-CN"/>
        </w:rPr>
        <w:t>1.27</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000000"/>
          <w:sz w:val="30"/>
          <w:szCs w:val="30"/>
          <w:lang w:eastAsia="zh-CN"/>
        </w:rPr>
        <w:t>下降</w:t>
      </w:r>
      <w:r>
        <w:rPr>
          <w:rFonts w:hint="eastAsia" w:ascii="仿宋_GB2312" w:hAnsi="仿宋_GB2312" w:eastAsia="仿宋_GB2312" w:cs="仿宋_GB2312"/>
          <w:color w:val="000000"/>
          <w:sz w:val="30"/>
          <w:szCs w:val="30"/>
          <w:lang w:val="en-US" w:eastAsia="zh-CN"/>
        </w:rPr>
        <w:t>59.62%。主要原因是按照公共机构节能能耗降低要求使用车辆。</w:t>
      </w:r>
    </w:p>
    <w:p>
      <w:pPr>
        <w:spacing w:line="600" w:lineRule="exact"/>
        <w:ind w:firstLine="602"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
          <w:color w:val="000000"/>
          <w:sz w:val="30"/>
          <w:szCs w:val="30"/>
        </w:rPr>
        <w:t>3.公务接待费支出</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万元。</w:t>
      </w:r>
    </w:p>
    <w:p>
      <w:pPr>
        <w:spacing w:line="600" w:lineRule="exact"/>
        <w:ind w:firstLine="64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公务接待费支出决算比201</w:t>
      </w:r>
      <w:r>
        <w:rPr>
          <w:rFonts w:hint="eastAsia" w:ascii="仿宋_GB2312" w:hAnsi="仿宋_GB2312" w:eastAsia="仿宋_GB2312" w:cs="仿宋_GB2312"/>
          <w:color w:val="000000"/>
          <w:sz w:val="30"/>
          <w:szCs w:val="30"/>
          <w:lang w:val="en-US" w:eastAsia="zh-CN"/>
        </w:rPr>
        <w:t>7</w:t>
      </w:r>
      <w:r>
        <w:rPr>
          <w:rFonts w:hint="eastAsia" w:ascii="仿宋_GB2312" w:hAnsi="仿宋_GB2312" w:eastAsia="仿宋_GB2312" w:cs="仿宋_GB2312"/>
          <w:color w:val="000000"/>
          <w:sz w:val="30"/>
          <w:szCs w:val="30"/>
          <w:lang w:eastAsia="zh-CN"/>
        </w:rPr>
        <w:t>持平。</w:t>
      </w:r>
    </w:p>
    <w:p>
      <w:pPr>
        <w:spacing w:line="600" w:lineRule="exact"/>
        <w:ind w:firstLine="640"/>
        <w:rPr>
          <w:rFonts w:hint="eastAsia" w:ascii="仿宋_GB2312" w:hAnsi="仿宋_GB2312" w:eastAsia="仿宋_GB2312" w:cs="仿宋_GB2312"/>
          <w:b/>
          <w:bCs/>
          <w:color w:val="000000"/>
          <w:sz w:val="30"/>
          <w:szCs w:val="30"/>
          <w:lang w:val="en-US" w:eastAsia="zh-CN"/>
        </w:rPr>
      </w:pPr>
      <w:r>
        <w:rPr>
          <w:rFonts w:hint="eastAsia" w:ascii="仿宋_GB2312" w:hAnsi="仿宋_GB2312" w:eastAsia="仿宋_GB2312" w:cs="仿宋_GB2312"/>
          <w:b/>
          <w:bCs/>
          <w:color w:val="000000"/>
          <w:sz w:val="30"/>
          <w:szCs w:val="30"/>
          <w:lang w:val="en-US" w:eastAsia="zh-CN"/>
        </w:rPr>
        <w:t>八、 政府性基金预算财政拨款支出决算情况</w:t>
      </w:r>
    </w:p>
    <w:p>
      <w:pPr>
        <w:numPr>
          <w:ilvl w:val="0"/>
          <w:numId w:val="0"/>
        </w:numPr>
        <w:spacing w:line="600" w:lineRule="exact"/>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大田医院2018年使用政府性基金预算财政拨款支出0万元。</w:t>
      </w:r>
    </w:p>
    <w:p>
      <w:pPr>
        <w:numPr>
          <w:ilvl w:val="0"/>
          <w:numId w:val="2"/>
        </w:numPr>
        <w:spacing w:line="600" w:lineRule="exact"/>
        <w:ind w:firstLine="640"/>
        <w:outlineLvl w:val="1"/>
        <w:rPr>
          <w:rStyle w:val="26"/>
          <w:rFonts w:ascii="黑体" w:hAnsi="黑体" w:eastAsia="黑体"/>
          <w:b w:val="0"/>
        </w:rPr>
      </w:pPr>
      <w:bookmarkStart w:id="22" w:name="_Toc15377219"/>
      <w:bookmarkStart w:id="23" w:name="_Toc15396611"/>
      <w:r>
        <w:rPr>
          <w:rStyle w:val="26"/>
          <w:rFonts w:hint="eastAsia" w:ascii="黑体" w:hAnsi="黑体" w:eastAsia="黑体"/>
          <w:b w:val="0"/>
        </w:rPr>
        <w:t>国有资本经营预算支出决算情况说明</w:t>
      </w:r>
      <w:bookmarkEnd w:id="22"/>
      <w:bookmarkEnd w:id="23"/>
    </w:p>
    <w:p>
      <w:pPr>
        <w:spacing w:line="580" w:lineRule="exact"/>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hAnsi="仿宋_GB2312" w:eastAsia="仿宋_GB2312" w:cs="仿宋_GB2312"/>
          <w:color w:val="000000"/>
          <w:sz w:val="30"/>
          <w:szCs w:val="30"/>
          <w:lang w:val="en-US" w:eastAsia="zh-CN"/>
        </w:rPr>
        <w:t>大田医院</w:t>
      </w: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spacing w:line="600" w:lineRule="exact"/>
        <w:ind w:firstLine="640" w:firstLineChars="200"/>
        <w:outlineLvl w:val="1"/>
        <w:rPr>
          <w:rStyle w:val="26"/>
          <w:rFonts w:ascii="黑体" w:hAnsi="黑体" w:eastAsia="黑体"/>
        </w:rPr>
      </w:pPr>
      <w:r>
        <w:rPr>
          <w:rStyle w:val="26"/>
          <w:rFonts w:hint="eastAsia" w:ascii="黑体" w:hAnsi="黑体" w:eastAsia="黑体"/>
          <w:b w:val="0"/>
        </w:rPr>
        <w:t>十、</w:t>
      </w:r>
      <w:bookmarkStart w:id="24" w:name="_Toc15377221"/>
      <w:bookmarkStart w:id="25" w:name="_Toc15396612"/>
      <w:r>
        <w:rPr>
          <w:rStyle w:val="26"/>
          <w:rFonts w:hint="eastAsia" w:ascii="黑体" w:hAnsi="黑体" w:eastAsia="黑体"/>
          <w:b w:val="0"/>
        </w:rPr>
        <w:t>其他重要事项的情况说明</w:t>
      </w:r>
      <w:bookmarkEnd w:id="24"/>
      <w:bookmarkEnd w:id="25"/>
    </w:p>
    <w:p>
      <w:pPr>
        <w:spacing w:line="600" w:lineRule="exact"/>
        <w:ind w:firstLine="640" w:firstLineChars="200"/>
        <w:outlineLvl w:val="2"/>
        <w:rPr>
          <w:rFonts w:ascii="仿宋" w:hAnsi="仿宋" w:eastAsia="仿宋"/>
          <w:color w:val="000000"/>
          <w:sz w:val="32"/>
          <w:szCs w:val="32"/>
        </w:rPr>
      </w:pPr>
      <w:bookmarkStart w:id="26" w:name="_Toc15377222"/>
      <w:r>
        <w:rPr>
          <w:rFonts w:hint="eastAsia" w:ascii="仿宋" w:hAnsi="仿宋" w:eastAsia="仿宋"/>
          <w:b/>
          <w:color w:val="000000"/>
          <w:sz w:val="32"/>
          <w:szCs w:val="32"/>
        </w:rPr>
        <w:t>（一）机关运行经费支出情况</w:t>
      </w:r>
      <w:bookmarkEnd w:id="26"/>
    </w:p>
    <w:p>
      <w:pPr>
        <w:spacing w:line="600" w:lineRule="exact"/>
        <w:ind w:firstLine="640"/>
        <w:rPr>
          <w:rFonts w:hint="eastAsia" w:ascii="仿宋" w:hAnsi="仿宋" w:eastAsia="仿宋"/>
          <w:b/>
          <w:color w:val="000000"/>
          <w:sz w:val="32"/>
          <w:szCs w:val="32"/>
          <w:lang w:eastAsia="zh-CN"/>
        </w:rPr>
      </w:pPr>
      <w:r>
        <w:rPr>
          <w:rFonts w:hint="eastAsia" w:ascii="仿宋_GB2312" w:hAnsi="仿宋_GB2312" w:eastAsia="仿宋_GB2312" w:cs="仿宋_GB2312"/>
          <w:color w:val="000000"/>
          <w:sz w:val="30"/>
          <w:szCs w:val="30"/>
          <w:lang w:val="en-US" w:eastAsia="zh-CN"/>
        </w:rPr>
        <w:t>大田医院无机关运行经费支出。</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27" w:name="_Toc15377223"/>
      <w:r>
        <w:rPr>
          <w:rFonts w:hint="eastAsia" w:ascii="仿宋" w:hAnsi="仿宋" w:eastAsia="仿宋"/>
          <w:b/>
          <w:color w:val="000000"/>
          <w:sz w:val="32"/>
          <w:szCs w:val="32"/>
        </w:rPr>
        <w:t>（二）政府采购支出情况</w:t>
      </w:r>
      <w:bookmarkEnd w:id="27"/>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大田医院</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7.68</w:t>
      </w:r>
      <w:r>
        <w:rPr>
          <w:rFonts w:hint="eastAsia" w:ascii="仿宋_GB2312" w:eastAsia="仿宋_GB2312"/>
          <w:color w:val="000000"/>
          <w:sz w:val="32"/>
          <w:szCs w:val="32"/>
        </w:rPr>
        <w:t>万元，其中：政府采购</w:t>
      </w:r>
      <w:r>
        <w:rPr>
          <w:rFonts w:hint="eastAsia" w:ascii="仿宋_GB2312" w:eastAsia="仿宋_GB2312"/>
          <w:color w:val="000000"/>
          <w:sz w:val="32"/>
          <w:szCs w:val="32"/>
          <w:lang w:eastAsia="zh-CN"/>
        </w:rPr>
        <w:t>办公用品</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0.91</w:t>
      </w:r>
      <w:r>
        <w:rPr>
          <w:rFonts w:hint="eastAsia" w:ascii="仿宋_GB2312" w:eastAsia="仿宋_GB2312"/>
          <w:color w:val="000000"/>
          <w:sz w:val="32"/>
          <w:szCs w:val="32"/>
        </w:rPr>
        <w:t>万元、采购</w:t>
      </w:r>
      <w:r>
        <w:rPr>
          <w:rFonts w:hint="eastAsia" w:ascii="仿宋_GB2312" w:eastAsia="仿宋_GB2312"/>
          <w:color w:val="000000"/>
          <w:sz w:val="32"/>
          <w:szCs w:val="32"/>
          <w:lang w:eastAsia="zh-CN"/>
        </w:rPr>
        <w:t>专用设备</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6.77</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28" w:name="_Toc15377224"/>
      <w:r>
        <w:rPr>
          <w:rFonts w:hint="eastAsia" w:ascii="仿宋" w:hAnsi="仿宋" w:eastAsia="仿宋"/>
          <w:b/>
          <w:color w:val="000000"/>
          <w:sz w:val="32"/>
          <w:szCs w:val="32"/>
        </w:rPr>
        <w:t>（三）国有资产占有使用情况</w:t>
      </w:r>
      <w:bookmarkEnd w:id="28"/>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大田医院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rPr>
        <w:t>其他用车主要是用于</w:t>
      </w:r>
      <w:r>
        <w:rPr>
          <w:rFonts w:hint="eastAsia" w:ascii="仿宋_GB2312" w:eastAsia="仿宋_GB2312"/>
          <w:color w:val="000000" w:themeColor="text1"/>
          <w:sz w:val="32"/>
          <w:szCs w:val="32"/>
          <w:lang w:eastAsia="zh-CN"/>
        </w:rPr>
        <w:t>公共卫生下乡体检用。</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3" w:firstLineChars="150"/>
        <w:jc w:val="center"/>
        <w:outlineLvl w:val="0"/>
        <w:rPr>
          <w:rStyle w:val="25"/>
          <w:rFonts w:ascii="黑体" w:hAnsi="黑体" w:eastAsia="黑体"/>
          <w:b w:val="0"/>
        </w:rPr>
      </w:pPr>
      <w:bookmarkStart w:id="29" w:name="_Toc15396613"/>
      <w:bookmarkStart w:id="30"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29"/>
      <w:bookmarkEnd w:id="30"/>
    </w:p>
    <w:p>
      <w:pPr>
        <w:spacing w:line="600" w:lineRule="exact"/>
        <w:jc w:val="left"/>
        <w:rPr>
          <w:rFonts w:ascii="宋体"/>
          <w:b/>
          <w:color w:val="000000"/>
          <w:sz w:val="44"/>
          <w:szCs w:val="44"/>
        </w:rPr>
      </w:pPr>
    </w:p>
    <w:p>
      <w:pPr>
        <w:pStyle w:val="12"/>
        <w:shd w:val="clear" w:color="auto" w:fill="FFFFFF"/>
        <w:spacing w:before="150" w:beforeAutospacing="0" w:after="150" w:afterAutospacing="0" w:line="540" w:lineRule="exact"/>
        <w:ind w:firstLine="643" w:firstLineChars="200"/>
        <w:rPr>
          <w:rFonts w:hint="eastAsia" w:ascii="仿宋_GB2312" w:hAnsi="Times New Roman" w:eastAsia="仿宋_GB2312" w:cs="Times New Roman"/>
          <w:color w:val="000000"/>
          <w:sz w:val="32"/>
          <w:szCs w:val="32"/>
        </w:rPr>
      </w:pPr>
      <w:bookmarkStart w:id="31" w:name="_Toc15377226"/>
      <w:r>
        <w:rPr>
          <w:rFonts w:hint="eastAsia" w:ascii="仿宋_GB2312" w:hAnsi="Times New Roman" w:eastAsia="仿宋_GB2312" w:cs="Times New Roman"/>
          <w:b/>
          <w:color w:val="000000"/>
          <w:sz w:val="32"/>
          <w:szCs w:val="32"/>
        </w:rPr>
        <w:t>1.财政拨款收入：</w:t>
      </w:r>
      <w:r>
        <w:rPr>
          <w:rFonts w:hint="eastAsia" w:ascii="仿宋_GB2312" w:hAnsi="Times New Roman" w:eastAsia="仿宋_GB2312" w:cs="Times New Roman"/>
          <w:color w:val="000000"/>
          <w:sz w:val="32"/>
          <w:szCs w:val="32"/>
        </w:rPr>
        <w:t>指财政当年拨付的资金。</w:t>
      </w:r>
    </w:p>
    <w:p>
      <w:pPr>
        <w:pStyle w:val="12"/>
        <w:shd w:val="clear" w:color="auto" w:fill="FFFFFF"/>
        <w:spacing w:before="150" w:beforeAutospacing="0" w:after="150" w:afterAutospacing="0" w:line="540" w:lineRule="exact"/>
        <w:ind w:firstLine="643"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2.事业收入：</w:t>
      </w:r>
      <w:r>
        <w:rPr>
          <w:rFonts w:hint="eastAsia" w:ascii="仿宋_GB2312" w:hAnsi="Times New Roman" w:eastAsia="仿宋_GB2312" w:cs="Times New Roman"/>
          <w:color w:val="000000"/>
          <w:sz w:val="32"/>
          <w:szCs w:val="32"/>
        </w:rPr>
        <w:t>指事业单位开展专业业务活动及辅助活动所取得的收入。</w:t>
      </w:r>
    </w:p>
    <w:p>
      <w:pPr>
        <w:pStyle w:val="12"/>
        <w:shd w:val="clear" w:color="auto" w:fill="FFFFFF"/>
        <w:spacing w:before="150" w:beforeAutospacing="0" w:after="150" w:afterAutospacing="0" w:line="540" w:lineRule="exact"/>
        <w:ind w:firstLine="64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3.经营收入：</w:t>
      </w:r>
      <w:r>
        <w:rPr>
          <w:rFonts w:hint="eastAsia" w:ascii="仿宋_GB2312" w:hAnsi="Times New Roman" w:eastAsia="仿宋_GB2312" w:cs="Times New Roman"/>
          <w:color w:val="000000"/>
          <w:sz w:val="32"/>
          <w:szCs w:val="32"/>
        </w:rPr>
        <w:t>指事业单位在专业业务活动及其辅助活动之外开展非独立核算经营活动取得的收入。</w:t>
      </w:r>
    </w:p>
    <w:p>
      <w:pPr>
        <w:pStyle w:val="12"/>
        <w:shd w:val="clear" w:color="auto" w:fill="FFFFFF"/>
        <w:spacing w:before="150" w:beforeAutospacing="0" w:after="150" w:afterAutospacing="0" w:line="540" w:lineRule="exact"/>
        <w:ind w:firstLine="64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4.其他收入：</w:t>
      </w:r>
      <w:r>
        <w:rPr>
          <w:rFonts w:hint="eastAsia" w:ascii="仿宋_GB2312" w:hAnsi="Times New Roman" w:eastAsia="仿宋_GB2312" w:cs="Times New Roman"/>
          <w:color w:val="000000"/>
          <w:sz w:val="32"/>
          <w:szCs w:val="32"/>
        </w:rPr>
        <w:t>指除上述“财政拨款收入”、“事业收入”、“经营收入”等以外的收入。</w:t>
      </w:r>
    </w:p>
    <w:p>
      <w:pPr>
        <w:pStyle w:val="1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5.用事业基金弥补收支差额：</w:t>
      </w:r>
      <w:r>
        <w:rPr>
          <w:rFonts w:hint="eastAsia" w:ascii="仿宋_GB2312" w:hAnsi="Times New Roman" w:eastAsia="仿宋_GB2312" w:cs="Times New Roman"/>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1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6.年初结转和结余：</w:t>
      </w:r>
      <w:r>
        <w:rPr>
          <w:rFonts w:hint="eastAsia" w:ascii="仿宋_GB2312" w:hAnsi="Times New Roman" w:eastAsia="仿宋_GB2312" w:cs="Times New Roman"/>
          <w:color w:val="000000"/>
          <w:sz w:val="32"/>
          <w:szCs w:val="32"/>
        </w:rPr>
        <w:t>指以前年度尚未完成、结转到本年按有关规定继续使用的资金。</w:t>
      </w:r>
    </w:p>
    <w:p>
      <w:pPr>
        <w:pStyle w:val="1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7.结余分配：</w:t>
      </w:r>
      <w:r>
        <w:rPr>
          <w:rFonts w:hint="eastAsia" w:ascii="仿宋_GB2312" w:hAnsi="Times New Roman" w:eastAsia="仿宋_GB2312" w:cs="Times New Roman"/>
          <w:color w:val="000000"/>
          <w:sz w:val="32"/>
          <w:szCs w:val="32"/>
        </w:rPr>
        <w:t>指事业单位按规定提取的职工福利基金、事业基金和缴纳的所得税，以及建设单位按规定应交回的基本建设竣工项目结余资金。</w:t>
      </w:r>
    </w:p>
    <w:p>
      <w:pPr>
        <w:pStyle w:val="1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8.年末结转和结余：</w:t>
      </w:r>
      <w:r>
        <w:rPr>
          <w:rFonts w:hint="eastAsia" w:ascii="仿宋_GB2312" w:hAnsi="Times New Roman" w:eastAsia="仿宋_GB2312" w:cs="Times New Roman"/>
          <w:color w:val="000000"/>
          <w:sz w:val="32"/>
          <w:szCs w:val="32"/>
        </w:rPr>
        <w:t>指本年度或以前年度预算安排、因客观条件发生变化无法按原计划实施，需延迟到以后年度按有关规定继续使用的资金。</w:t>
      </w:r>
    </w:p>
    <w:p>
      <w:pPr>
        <w:pStyle w:val="1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9.基本支出：</w:t>
      </w:r>
      <w:r>
        <w:rPr>
          <w:rFonts w:hint="eastAsia" w:ascii="仿宋_GB2312" w:hAnsi="Times New Roman" w:eastAsia="仿宋_GB2312" w:cs="Times New Roman"/>
          <w:color w:val="000000"/>
          <w:sz w:val="32"/>
          <w:szCs w:val="32"/>
        </w:rPr>
        <w:t>指为保障机构正常运转、完成日常工作任务而发生的人员支出和公用支出。</w:t>
      </w:r>
    </w:p>
    <w:p>
      <w:pPr>
        <w:pStyle w:val="1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10.项目支出：</w:t>
      </w:r>
      <w:r>
        <w:rPr>
          <w:rFonts w:hint="eastAsia" w:ascii="仿宋_GB2312" w:hAnsi="Times New Roman" w:eastAsia="仿宋_GB2312" w:cs="Times New Roman"/>
          <w:color w:val="000000"/>
          <w:sz w:val="32"/>
          <w:szCs w:val="32"/>
        </w:rPr>
        <w:t>指在基本支出之外为完成特定行政任务和事业发展目标所发生的支出。</w:t>
      </w:r>
    </w:p>
    <w:p>
      <w:pPr>
        <w:pStyle w:val="1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11.经营支出：</w:t>
      </w:r>
      <w:r>
        <w:rPr>
          <w:rFonts w:hint="eastAsia" w:ascii="仿宋_GB2312" w:hAnsi="Times New Roman" w:eastAsia="仿宋_GB2312" w:cs="Times New Roman"/>
          <w:color w:val="000000"/>
          <w:sz w:val="32"/>
          <w:szCs w:val="32"/>
        </w:rPr>
        <w:t>指事业单位在专业业务活动及其辅助活动之外开展非独立核算经营活动发生的支出。</w:t>
      </w:r>
    </w:p>
    <w:p>
      <w:pPr>
        <w:pStyle w:val="1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12.“三公”经费：</w:t>
      </w:r>
      <w:r>
        <w:rPr>
          <w:rFonts w:hint="eastAsia" w:ascii="仿宋_GB2312" w:hAnsi="Times New Roman" w:eastAsia="仿宋_GB2312" w:cs="Times New Roman"/>
          <w:color w:val="000000"/>
          <w:sz w:val="32"/>
          <w:szCs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2"/>
        <w:shd w:val="clear" w:color="auto" w:fill="FFFFFF"/>
        <w:spacing w:before="150" w:beforeAutospacing="0" w:after="150" w:afterAutospacing="0" w:line="540" w:lineRule="exact"/>
        <w:ind w:firstLine="630"/>
        <w:rPr>
          <w:rFonts w:hint="eastAsia" w:ascii="仿宋_GB2312" w:hAnsi="Times New Roman" w:eastAsia="仿宋_GB2312" w:cs="Times New Roman"/>
          <w:color w:val="FF0000"/>
          <w:sz w:val="32"/>
          <w:szCs w:val="32"/>
        </w:rPr>
      </w:pPr>
      <w:r>
        <w:rPr>
          <w:rFonts w:hint="eastAsia" w:ascii="仿宋_GB2312" w:hAnsi="Times New Roman" w:eastAsia="仿宋_GB2312" w:cs="Times New Roman"/>
          <w:b/>
          <w:color w:val="000000"/>
          <w:sz w:val="32"/>
          <w:szCs w:val="32"/>
        </w:rPr>
        <w:t>13.机关运行经费：</w:t>
      </w:r>
      <w:r>
        <w:rPr>
          <w:rFonts w:hint="eastAsia" w:ascii="仿宋_GB2312" w:hAnsi="Times New Roman" w:eastAsia="仿宋_GB2312" w:cs="Times New Roman"/>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r>
        <w:rPr>
          <w:rFonts w:ascii="宋体"/>
          <w:b/>
          <w:color w:val="000000"/>
          <w:sz w:val="44"/>
          <w:szCs w:val="44"/>
        </w:rPr>
        <w:br w:type="page"/>
      </w:r>
      <w:bookmarkStart w:id="32"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32"/>
    </w:p>
    <w:p>
      <w:pPr>
        <w:spacing w:line="600" w:lineRule="exact"/>
        <w:jc w:val="center"/>
        <w:outlineLvl w:val="0"/>
        <w:rPr>
          <w:rStyle w:val="25"/>
        </w:rPr>
      </w:pPr>
    </w:p>
    <w:p>
      <w:pPr>
        <w:pStyle w:val="3"/>
        <w:rPr>
          <w:rStyle w:val="25"/>
          <w:rFonts w:ascii="仿宋" w:hAnsi="仿宋" w:eastAsia="仿宋"/>
          <w:b w:val="0"/>
          <w:bCs w:val="0"/>
          <w:sz w:val="32"/>
          <w:szCs w:val="32"/>
        </w:rPr>
      </w:pPr>
      <w:bookmarkStart w:id="33" w:name="_Toc15396615"/>
      <w:r>
        <w:rPr>
          <w:rStyle w:val="25"/>
          <w:rFonts w:hint="eastAsia" w:ascii="仿宋" w:hAnsi="仿宋" w:eastAsia="仿宋"/>
          <w:b w:val="0"/>
          <w:bCs w:val="0"/>
          <w:sz w:val="32"/>
          <w:szCs w:val="32"/>
        </w:rPr>
        <w:t>附件1</w:t>
      </w:r>
      <w:bookmarkEnd w:id="33"/>
    </w:p>
    <w:p>
      <w:pPr>
        <w:spacing w:line="600" w:lineRule="exact"/>
        <w:jc w:val="center"/>
        <w:outlineLvl w:val="0"/>
        <w:rPr>
          <w:rFonts w:hint="eastAsia" w:ascii="黑体" w:hAnsi="黑体" w:eastAsia="黑体" w:cs="方正小标宋简体"/>
          <w:sz w:val="36"/>
          <w:szCs w:val="36"/>
          <w:lang w:eastAsia="zh-CN"/>
        </w:rPr>
      </w:pPr>
      <w:bookmarkStart w:id="34" w:name="_Toc15396616"/>
      <w:r>
        <w:rPr>
          <w:rFonts w:hint="eastAsia" w:ascii="黑体" w:hAnsi="黑体" w:eastAsia="黑体" w:cs="方正小标宋简体"/>
          <w:sz w:val="36"/>
          <w:szCs w:val="36"/>
          <w:lang w:eastAsia="zh-CN"/>
        </w:rPr>
        <w:t>攀枝花市仁和区大田医院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部门2018年部门整体支出绩效评价报告</w:t>
      </w:r>
      <w:bookmarkEnd w:id="34"/>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pStyle w:val="30"/>
        <w:widowControl/>
        <w:shd w:val="clear" w:color="060000" w:fill="FFFFFF"/>
        <w:spacing w:line="520" w:lineRule="exact"/>
        <w:ind w:firstLine="640"/>
        <w:jc w:val="both"/>
        <w:rPr>
          <w:rFonts w:hint="eastAsia" w:ascii="仿宋" w:hAnsi="仿宋" w:eastAsia="仿宋" w:cs="仿宋"/>
          <w:b w:val="0"/>
          <w:bCs w:val="0"/>
          <w:color w:val="333333"/>
          <w:sz w:val="32"/>
          <w:szCs w:val="32"/>
        </w:rPr>
      </w:pPr>
      <w:r>
        <w:rPr>
          <w:rFonts w:hint="eastAsia" w:ascii="仿宋" w:hAnsi="仿宋" w:eastAsia="仿宋" w:cs="仿宋"/>
          <w:b w:val="0"/>
          <w:bCs w:val="0"/>
          <w:color w:val="333333"/>
          <w:sz w:val="32"/>
          <w:szCs w:val="32"/>
          <w:shd w:val="clear" w:color="080000" w:fill="FFFFFF"/>
        </w:rPr>
        <w:t>1.单位内设机构和人员编制</w:t>
      </w:r>
    </w:p>
    <w:p>
      <w:pPr>
        <w:spacing w:line="520" w:lineRule="exact"/>
        <w:ind w:firstLine="42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大田镇位于攀枝花市仁和区，幅员面积 150  平方公里，总人口 11476 人。</w:t>
      </w:r>
    </w:p>
    <w:p>
      <w:pPr>
        <w:spacing w:line="52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大田医院位于仁和区大田镇大田新街11号，现有职工24人，其中：在编21人（借调3人到区卫</w:t>
      </w:r>
      <w:r>
        <w:rPr>
          <w:rFonts w:hint="eastAsia" w:ascii="仿宋" w:hAnsi="仿宋" w:eastAsia="仿宋" w:cs="仿宋"/>
          <w:b w:val="0"/>
          <w:bCs w:val="0"/>
          <w:sz w:val="32"/>
          <w:szCs w:val="32"/>
          <w:lang w:eastAsia="zh-CN"/>
        </w:rPr>
        <w:t>健</w:t>
      </w:r>
      <w:r>
        <w:rPr>
          <w:rFonts w:hint="eastAsia" w:ascii="仿宋" w:hAnsi="仿宋" w:eastAsia="仿宋" w:cs="仿宋"/>
          <w:b w:val="0"/>
          <w:bCs w:val="0"/>
          <w:sz w:val="32"/>
          <w:szCs w:val="32"/>
        </w:rPr>
        <w:t>局）；临聘3人；退休16人。编制床位数20张，专业技术人员21人、工勤人员3人。主要承担辖区内居民的基本医疗和公共卫生服务任务。</w:t>
      </w:r>
    </w:p>
    <w:p>
      <w:pPr>
        <w:spacing w:line="52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卫生院占地面积约6666m</w:t>
      </w:r>
      <w:r>
        <w:rPr>
          <w:rFonts w:hint="eastAsia" w:ascii="仿宋" w:hAnsi="仿宋" w:eastAsia="仿宋" w:cs="仿宋"/>
          <w:b w:val="0"/>
          <w:bCs w:val="0"/>
          <w:sz w:val="32"/>
          <w:szCs w:val="32"/>
          <w:vertAlign w:val="superscript"/>
        </w:rPr>
        <w:t>2</w:t>
      </w:r>
      <w:r>
        <w:rPr>
          <w:rFonts w:hint="eastAsia" w:ascii="仿宋" w:hAnsi="仿宋" w:eastAsia="仿宋" w:cs="仿宋"/>
          <w:b w:val="0"/>
          <w:bCs w:val="0"/>
          <w:sz w:val="32"/>
          <w:szCs w:val="32"/>
        </w:rPr>
        <w:t>，其中现有业务用房面积2000m</w:t>
      </w:r>
      <w:r>
        <w:rPr>
          <w:rFonts w:hint="eastAsia" w:ascii="仿宋" w:hAnsi="仿宋" w:eastAsia="仿宋" w:cs="仿宋"/>
          <w:b w:val="0"/>
          <w:bCs w:val="0"/>
          <w:sz w:val="32"/>
          <w:szCs w:val="32"/>
          <w:vertAlign w:val="superscript"/>
        </w:rPr>
        <w:t>2</w:t>
      </w:r>
      <w:r>
        <w:rPr>
          <w:rFonts w:hint="eastAsia" w:ascii="仿宋" w:hAnsi="仿宋" w:eastAsia="仿宋" w:cs="仿宋"/>
          <w:b w:val="0"/>
          <w:bCs w:val="0"/>
          <w:sz w:val="32"/>
          <w:szCs w:val="32"/>
        </w:rPr>
        <w:t>，现设科室为：临床、护理、药房、收费室、医技、公卫科室。固定资产总值达473.9余万元，卫生院现有彩超、、心电图机、全自动生化分析仪、尿液分析仪、电解质分析仪等设备。辖区内下设6个村卫生室。</w:t>
      </w:r>
    </w:p>
    <w:p>
      <w:pPr>
        <w:pStyle w:val="30"/>
        <w:widowControl/>
        <w:shd w:val="clear" w:color="060000" w:fill="FFFFFF"/>
        <w:spacing w:line="520" w:lineRule="exact"/>
        <w:ind w:firstLine="602"/>
        <w:jc w:val="both"/>
        <w:rPr>
          <w:rFonts w:hint="eastAsia" w:ascii="仿宋" w:hAnsi="仿宋" w:eastAsia="仿宋" w:cs="仿宋"/>
          <w:b w:val="0"/>
          <w:bCs w:val="0"/>
          <w:color w:val="333333"/>
          <w:sz w:val="32"/>
          <w:szCs w:val="32"/>
        </w:rPr>
      </w:pPr>
      <w:r>
        <w:rPr>
          <w:rFonts w:hint="eastAsia" w:ascii="仿宋" w:hAnsi="仿宋" w:eastAsia="仿宋" w:cs="仿宋"/>
          <w:b w:val="0"/>
          <w:bCs w:val="0"/>
          <w:color w:val="444444"/>
          <w:sz w:val="32"/>
          <w:szCs w:val="32"/>
          <w:shd w:val="clear" w:color="080000" w:fill="FFFFFF"/>
        </w:rPr>
        <w:t>2.单位主要职责</w:t>
      </w:r>
    </w:p>
    <w:p>
      <w:pPr>
        <w:pStyle w:val="30"/>
        <w:widowControl/>
        <w:shd w:val="clear" w:color="060000" w:fill="FFFFFF"/>
        <w:spacing w:line="520" w:lineRule="exact"/>
        <w:ind w:firstLine="64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一是全面建立覆盖全乡居民的基本医疗卫生服务制度，使全乡居民人人享有基本医疗保障，人人享有基本公共卫生服务，医疗卫生服务质量、服务效率和群众满意度显著提高，切实解决看病难问题</w:t>
      </w:r>
      <w:r>
        <w:rPr>
          <w:rFonts w:hint="eastAsia" w:ascii="仿宋" w:hAnsi="仿宋" w:eastAsia="仿宋" w:cs="仿宋"/>
          <w:b w:val="0"/>
          <w:bCs w:val="0"/>
          <w:sz w:val="32"/>
          <w:szCs w:val="32"/>
          <w:lang w:eastAsia="zh-CN"/>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sz w:val="32"/>
          <w:szCs w:val="32"/>
          <w:lang w:eastAsia="zh-CN"/>
        </w:rPr>
        <w:t>二是</w:t>
      </w:r>
      <w:r>
        <w:rPr>
          <w:rFonts w:hint="eastAsia" w:ascii="仿宋" w:hAnsi="仿宋" w:eastAsia="仿宋" w:cs="仿宋"/>
          <w:b w:val="0"/>
          <w:bCs w:val="0"/>
          <w:i w:val="0"/>
          <w:caps w:val="0"/>
          <w:color w:val="333333"/>
          <w:spacing w:val="0"/>
          <w:sz w:val="32"/>
          <w:szCs w:val="32"/>
        </w:rPr>
        <w:t>贯彻落实国家基本药物制度，实施基本药物零差率销售。药品实行网上统一采购、统一配送的基本药物采购机制</w:t>
      </w:r>
      <w:r>
        <w:rPr>
          <w:rFonts w:hint="eastAsia" w:ascii="仿宋" w:hAnsi="仿宋" w:eastAsia="仿宋" w:cs="仿宋"/>
          <w:b w:val="0"/>
          <w:bCs w:val="0"/>
          <w:i w:val="0"/>
          <w:caps w:val="0"/>
          <w:color w:val="333333"/>
          <w:spacing w:val="0"/>
          <w:sz w:val="32"/>
          <w:szCs w:val="32"/>
          <w:lang w:eastAsia="zh-CN"/>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eastAsia" w:ascii="仿宋" w:hAnsi="仿宋" w:eastAsia="仿宋" w:cs="仿宋"/>
          <w:b w:val="0"/>
          <w:bCs w:val="0"/>
          <w:color w:val="444444"/>
          <w:sz w:val="32"/>
          <w:szCs w:val="32"/>
          <w:shd w:val="clear" w:color="080000" w:fill="FFFFFF"/>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是基本建立分工明确、信息互通、资源共享、协调互动的公共卫生服务体系，促进全乡居民享有均等化的基本公共卫生服务</w:t>
      </w:r>
      <w:r>
        <w:rPr>
          <w:rFonts w:hint="eastAsia" w:ascii="仿宋" w:hAnsi="仿宋" w:eastAsia="仿宋" w:cs="仿宋"/>
          <w:b w:val="0"/>
          <w:bCs w:val="0"/>
          <w:sz w:val="32"/>
          <w:szCs w:val="32"/>
          <w:lang w:eastAsia="zh-CN"/>
        </w:rPr>
        <w:t>，其中：①</w:t>
      </w:r>
      <w:r>
        <w:rPr>
          <w:rFonts w:hint="eastAsia" w:ascii="仿宋" w:hAnsi="仿宋" w:eastAsia="仿宋" w:cs="仿宋"/>
          <w:b w:val="0"/>
          <w:bCs w:val="0"/>
          <w:color w:val="444444"/>
          <w:sz w:val="32"/>
          <w:szCs w:val="32"/>
          <w:shd w:val="clear" w:color="080000" w:fill="FFFFFF"/>
        </w:rPr>
        <w:t>大力推进建立居民健康档案工作；</w:t>
      </w:r>
      <w:r>
        <w:rPr>
          <w:rFonts w:hint="eastAsia" w:ascii="仿宋" w:hAnsi="仿宋" w:eastAsia="仿宋" w:cs="仿宋"/>
          <w:b w:val="0"/>
          <w:bCs w:val="0"/>
          <w:color w:val="444444"/>
          <w:sz w:val="32"/>
          <w:szCs w:val="32"/>
          <w:shd w:val="clear" w:color="080000" w:fill="FFFFFF"/>
          <w:lang w:eastAsia="zh-CN"/>
        </w:rPr>
        <w:t>②</w:t>
      </w:r>
      <w:r>
        <w:rPr>
          <w:rFonts w:hint="eastAsia" w:ascii="仿宋" w:hAnsi="仿宋" w:eastAsia="仿宋" w:cs="仿宋"/>
          <w:b w:val="0"/>
          <w:bCs w:val="0"/>
          <w:color w:val="444444"/>
          <w:sz w:val="32"/>
          <w:szCs w:val="32"/>
          <w:shd w:val="clear" w:color="080000" w:fill="FFFFFF"/>
        </w:rPr>
        <w:t>积极开展健康教育；</w:t>
      </w:r>
      <w:r>
        <w:rPr>
          <w:rFonts w:hint="eastAsia" w:ascii="仿宋" w:hAnsi="仿宋" w:eastAsia="仿宋" w:cs="仿宋"/>
          <w:b w:val="0"/>
          <w:bCs w:val="0"/>
          <w:color w:val="444444"/>
          <w:sz w:val="32"/>
          <w:szCs w:val="32"/>
          <w:shd w:val="clear" w:color="080000" w:fill="FFFFFF"/>
          <w:lang w:eastAsia="zh-CN"/>
        </w:rPr>
        <w:t>③</w:t>
      </w:r>
      <w:r>
        <w:rPr>
          <w:rFonts w:hint="eastAsia" w:ascii="仿宋" w:hAnsi="仿宋" w:eastAsia="仿宋" w:cs="仿宋"/>
          <w:b w:val="0"/>
          <w:bCs w:val="0"/>
          <w:color w:val="444444"/>
          <w:sz w:val="32"/>
          <w:szCs w:val="32"/>
          <w:shd w:val="clear" w:color="080000" w:fill="FFFFFF"/>
        </w:rPr>
        <w:t>加强妇幼管理工作；</w:t>
      </w:r>
      <w:r>
        <w:rPr>
          <w:rFonts w:hint="eastAsia" w:ascii="仿宋" w:hAnsi="仿宋" w:eastAsia="仿宋" w:cs="仿宋"/>
          <w:b w:val="0"/>
          <w:bCs w:val="0"/>
          <w:color w:val="444444"/>
          <w:sz w:val="32"/>
          <w:szCs w:val="32"/>
          <w:shd w:val="clear" w:color="080000" w:fill="FFFFFF"/>
          <w:lang w:eastAsia="zh-CN"/>
        </w:rPr>
        <w:t>④</w:t>
      </w:r>
      <w:r>
        <w:rPr>
          <w:rFonts w:hint="eastAsia" w:ascii="仿宋" w:hAnsi="仿宋" w:eastAsia="仿宋" w:cs="仿宋"/>
          <w:b w:val="0"/>
          <w:bCs w:val="0"/>
          <w:color w:val="444444"/>
          <w:sz w:val="32"/>
          <w:szCs w:val="32"/>
          <w:shd w:val="clear" w:color="080000" w:fill="FFFFFF"/>
        </w:rPr>
        <w:t>加强老年人、慢性病和重性精神病管理工作。</w:t>
      </w:r>
      <w:r>
        <w:rPr>
          <w:rFonts w:hint="eastAsia" w:ascii="仿宋" w:hAnsi="仿宋" w:eastAsia="仿宋" w:cs="仿宋"/>
          <w:b w:val="0"/>
          <w:bCs w:val="0"/>
          <w:color w:val="444444"/>
          <w:sz w:val="32"/>
          <w:szCs w:val="32"/>
          <w:shd w:val="clear" w:color="080000" w:fill="FFFFFF"/>
          <w:lang w:eastAsia="zh-CN"/>
        </w:rPr>
        <w:t>⑤</w:t>
      </w:r>
      <w:r>
        <w:rPr>
          <w:rFonts w:hint="eastAsia" w:ascii="仿宋" w:hAnsi="仿宋" w:eastAsia="仿宋" w:cs="仿宋"/>
          <w:b w:val="0"/>
          <w:bCs w:val="0"/>
          <w:color w:val="444444"/>
          <w:sz w:val="32"/>
          <w:szCs w:val="32"/>
          <w:shd w:val="clear" w:color="080000" w:fill="FFFFFF"/>
        </w:rPr>
        <w:t>加强疾病预防控制工作。</w:t>
      </w:r>
      <w:r>
        <w:rPr>
          <w:rFonts w:hint="eastAsia" w:ascii="仿宋" w:hAnsi="仿宋" w:eastAsia="仿宋" w:cs="仿宋"/>
          <w:b w:val="0"/>
          <w:bCs w:val="0"/>
          <w:color w:val="444444"/>
          <w:sz w:val="32"/>
          <w:szCs w:val="32"/>
          <w:shd w:val="clear" w:color="080000" w:fill="FFFFFF"/>
          <w:lang w:eastAsia="zh-CN"/>
        </w:rPr>
        <w:t>⑥</w:t>
      </w:r>
      <w:r>
        <w:rPr>
          <w:rFonts w:hint="eastAsia" w:ascii="仿宋" w:hAnsi="仿宋" w:eastAsia="仿宋" w:cs="仿宋"/>
          <w:b w:val="0"/>
          <w:bCs w:val="0"/>
          <w:color w:val="444444"/>
          <w:sz w:val="32"/>
          <w:szCs w:val="32"/>
          <w:shd w:val="clear" w:color="080000" w:fill="FFFFFF"/>
        </w:rPr>
        <w:t>有效履行卫生监督协管职责；</w:t>
      </w:r>
      <w:r>
        <w:rPr>
          <w:rFonts w:hint="eastAsia" w:ascii="仿宋" w:hAnsi="仿宋" w:eastAsia="仿宋" w:cs="仿宋"/>
          <w:b w:val="0"/>
          <w:bCs w:val="0"/>
          <w:color w:val="444444"/>
          <w:sz w:val="32"/>
          <w:szCs w:val="32"/>
          <w:shd w:val="clear" w:color="080000" w:fill="FFFFFF"/>
          <w:lang w:eastAsia="zh-CN"/>
        </w:rPr>
        <w:t>⑦</w:t>
      </w:r>
      <w:r>
        <w:rPr>
          <w:rFonts w:hint="eastAsia" w:ascii="仿宋" w:hAnsi="仿宋" w:eastAsia="仿宋" w:cs="仿宋"/>
          <w:b w:val="0"/>
          <w:bCs w:val="0"/>
          <w:color w:val="444444"/>
          <w:sz w:val="32"/>
          <w:szCs w:val="32"/>
          <w:shd w:val="clear" w:color="080000" w:fill="FFFFFF"/>
        </w:rPr>
        <w:t>加强死因报告工作</w:t>
      </w:r>
      <w:r>
        <w:rPr>
          <w:rFonts w:hint="eastAsia" w:ascii="仿宋" w:hAnsi="仿宋" w:eastAsia="仿宋" w:cs="仿宋"/>
          <w:b w:val="0"/>
          <w:bCs w:val="0"/>
          <w:color w:val="444444"/>
          <w:sz w:val="32"/>
          <w:szCs w:val="32"/>
          <w:shd w:val="clear" w:color="080000" w:fill="FFFFFF"/>
          <w:lang w:eastAsia="zh-CN"/>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color w:val="444444"/>
          <w:sz w:val="32"/>
          <w:szCs w:val="32"/>
          <w:shd w:val="clear" w:color="080000" w:fill="FFFFFF"/>
          <w:lang w:eastAsia="zh-CN"/>
        </w:rPr>
        <w:t>四是</w:t>
      </w:r>
      <w:r>
        <w:rPr>
          <w:rFonts w:hint="eastAsia" w:ascii="仿宋" w:hAnsi="仿宋" w:eastAsia="仿宋" w:cs="仿宋"/>
          <w:b w:val="0"/>
          <w:bCs w:val="0"/>
          <w:i w:val="0"/>
          <w:caps w:val="0"/>
          <w:color w:val="333333"/>
          <w:spacing w:val="0"/>
          <w:sz w:val="32"/>
          <w:szCs w:val="32"/>
        </w:rPr>
        <w:t>协助开展突发公共卫生事件应急调查和组织工作，承担区域内公共卫生信息的收集和报告。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b w:val="0"/>
          <w:bCs w:val="0"/>
          <w:i w:val="0"/>
          <w:caps w:val="0"/>
          <w:color w:val="333333"/>
          <w:spacing w:val="0"/>
          <w:sz w:val="32"/>
          <w:szCs w:val="32"/>
          <w:lang w:eastAsia="zh-CN"/>
        </w:rPr>
      </w:pPr>
      <w:r>
        <w:rPr>
          <w:rFonts w:hint="eastAsia" w:ascii="仿宋" w:hAnsi="仿宋" w:eastAsia="仿宋" w:cs="仿宋"/>
          <w:b w:val="0"/>
          <w:bCs w:val="0"/>
          <w:i w:val="0"/>
          <w:caps w:val="0"/>
          <w:color w:val="333333"/>
          <w:spacing w:val="0"/>
          <w:sz w:val="32"/>
          <w:szCs w:val="32"/>
          <w:lang w:eastAsia="zh-CN"/>
        </w:rPr>
        <w:t>五是</w:t>
      </w:r>
      <w:r>
        <w:rPr>
          <w:rFonts w:hint="eastAsia" w:ascii="仿宋" w:hAnsi="仿宋" w:eastAsia="仿宋" w:cs="仿宋"/>
          <w:b w:val="0"/>
          <w:bCs w:val="0"/>
          <w:i w:val="0"/>
          <w:caps w:val="0"/>
          <w:color w:val="333333"/>
          <w:spacing w:val="0"/>
          <w:sz w:val="32"/>
          <w:szCs w:val="32"/>
        </w:rPr>
        <w:t>对所属行政村卫生室实行一体化管理，承担对村卫生室和乡村医生的业务管理和指导。</w:t>
      </w:r>
    </w:p>
    <w:p>
      <w:pPr>
        <w:pStyle w:val="30"/>
        <w:widowControl/>
        <w:shd w:val="clear" w:color="060000" w:fill="FFFFFF"/>
        <w:spacing w:line="520" w:lineRule="exact"/>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六是</w:t>
      </w:r>
      <w:r>
        <w:rPr>
          <w:rFonts w:hint="eastAsia" w:ascii="仿宋" w:hAnsi="仿宋" w:eastAsia="仿宋" w:cs="仿宋"/>
          <w:b w:val="0"/>
          <w:bCs w:val="0"/>
          <w:sz w:val="32"/>
          <w:szCs w:val="32"/>
        </w:rPr>
        <w:t>建立健全支撑卫生事业全面、协调、可持续发展的各项体制机制，有效保障医药卫生体系规范运行;</w:t>
      </w:r>
    </w:p>
    <w:p>
      <w:pPr>
        <w:pStyle w:val="30"/>
        <w:widowControl/>
        <w:shd w:val="clear" w:color="060000" w:fill="FFFFFF"/>
        <w:spacing w:line="520" w:lineRule="exact"/>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七是全力巩固群众满意乡镇卫生院成果，创建以人为本的卫生院文化，实现和谐的人文特色办院方向;</w:t>
      </w:r>
    </w:p>
    <w:p>
      <w:pPr>
        <w:pStyle w:val="30"/>
        <w:widowControl/>
        <w:shd w:val="clear" w:color="060000" w:fill="FFFFFF"/>
        <w:spacing w:line="520" w:lineRule="exact"/>
        <w:ind w:firstLine="64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八是培养一支留得住、用得上、满足群众健康需求、技术过硬的基础医疗卫生队伍。</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rPr>
          <w:rFonts w:hint="eastAsia" w:ascii="仿宋" w:hAnsi="仿宋" w:eastAsia="仿宋" w:cs="仿宋"/>
          <w:b w:val="0"/>
          <w:bCs w:val="0"/>
          <w:i w:val="0"/>
          <w:caps w:val="0"/>
          <w:color w:val="333333"/>
          <w:spacing w:val="0"/>
          <w:kern w:val="2"/>
          <w:sz w:val="32"/>
          <w:szCs w:val="32"/>
          <w:shd w:val="clear" w:color="auto" w:fill="FFFFFF"/>
          <w:lang w:val="en-US" w:eastAsia="zh-CN" w:bidi="ar-SA"/>
        </w:rPr>
      </w:pPr>
      <w:r>
        <w:rPr>
          <w:rFonts w:hint="eastAsia" w:ascii="仿宋" w:hAnsi="仿宋" w:eastAsia="仿宋" w:cs="仿宋"/>
          <w:b w:val="0"/>
          <w:bCs w:val="0"/>
          <w:sz w:val="32"/>
          <w:szCs w:val="32"/>
        </w:rPr>
        <w:t>1、201</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年大田医院收入决算总额为</w:t>
      </w:r>
      <w:r>
        <w:rPr>
          <w:rFonts w:hint="eastAsia" w:ascii="仿宋" w:hAnsi="仿宋" w:eastAsia="仿宋" w:cs="仿宋"/>
          <w:b w:val="0"/>
          <w:bCs w:val="0"/>
          <w:i w:val="0"/>
          <w:caps w:val="0"/>
          <w:color w:val="333333"/>
          <w:spacing w:val="0"/>
          <w:kern w:val="2"/>
          <w:sz w:val="32"/>
          <w:szCs w:val="32"/>
          <w:shd w:val="clear" w:color="auto" w:fill="FFFFFF"/>
          <w:lang w:val="en-US" w:eastAsia="zh-CN" w:bidi="ar-SA"/>
        </w:rPr>
        <w:t>524.66万元，其中：一般公共预算财政拨款收入340.87万元，占64.96%；事业收入142.39万元，占27.13%；其他收入41.4万元，占7.91%。</w:t>
      </w:r>
    </w:p>
    <w:p>
      <w:pPr>
        <w:spacing w:line="60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w:t>
      </w:r>
      <w:r>
        <w:rPr>
          <w:rFonts w:hint="eastAsia" w:ascii="仿宋" w:hAnsi="仿宋" w:eastAsia="仿宋" w:cs="仿宋"/>
          <w:b w:val="0"/>
          <w:bCs w:val="0"/>
          <w:color w:val="000000"/>
          <w:sz w:val="32"/>
          <w:szCs w:val="32"/>
          <w:lang w:val="en-US" w:eastAsia="zh-CN"/>
        </w:rPr>
        <w:t>2018年</w:t>
      </w:r>
      <w:r>
        <w:rPr>
          <w:rFonts w:hint="eastAsia" w:ascii="仿宋" w:hAnsi="仿宋" w:eastAsia="仿宋" w:cs="仿宋"/>
          <w:b w:val="0"/>
          <w:bCs w:val="0"/>
          <w:color w:val="000000"/>
          <w:sz w:val="32"/>
          <w:szCs w:val="32"/>
        </w:rPr>
        <w:t>仁和区大田医院财政拨款</w:t>
      </w:r>
      <w:r>
        <w:rPr>
          <w:rFonts w:hint="eastAsia" w:ascii="仿宋" w:hAnsi="仿宋" w:eastAsia="仿宋" w:cs="仿宋"/>
          <w:b w:val="0"/>
          <w:bCs w:val="0"/>
          <w:color w:val="000000"/>
          <w:sz w:val="32"/>
          <w:szCs w:val="32"/>
          <w:lang w:eastAsia="zh-CN"/>
        </w:rPr>
        <w:t>收入</w:t>
      </w:r>
      <w:r>
        <w:rPr>
          <w:rFonts w:hint="eastAsia" w:ascii="仿宋" w:hAnsi="仿宋" w:eastAsia="仿宋" w:cs="仿宋"/>
          <w:b w:val="0"/>
          <w:bCs w:val="0"/>
          <w:color w:val="000000"/>
          <w:sz w:val="32"/>
          <w:szCs w:val="32"/>
          <w:lang w:val="en-US" w:eastAsia="zh-CN"/>
        </w:rPr>
        <w:t>340.87万元，</w:t>
      </w:r>
      <w:r>
        <w:rPr>
          <w:rFonts w:hint="eastAsia" w:ascii="仿宋" w:hAnsi="仿宋" w:eastAsia="仿宋" w:cs="仿宋"/>
          <w:b w:val="0"/>
          <w:bCs w:val="0"/>
          <w:color w:val="000000"/>
          <w:sz w:val="32"/>
          <w:szCs w:val="32"/>
        </w:rPr>
        <w:t>支</w:t>
      </w:r>
      <w:r>
        <w:rPr>
          <w:rFonts w:hint="eastAsia" w:ascii="仿宋" w:hAnsi="仿宋" w:eastAsia="仿宋" w:cs="仿宋"/>
          <w:b w:val="0"/>
          <w:bCs w:val="0"/>
          <w:color w:val="000000"/>
          <w:sz w:val="32"/>
          <w:szCs w:val="32"/>
          <w:lang w:eastAsia="zh-CN"/>
        </w:rPr>
        <w:t>出</w:t>
      </w:r>
      <w:r>
        <w:rPr>
          <w:rFonts w:hint="eastAsia" w:ascii="仿宋" w:hAnsi="仿宋" w:eastAsia="仿宋" w:cs="仿宋"/>
          <w:b w:val="0"/>
          <w:bCs w:val="0"/>
          <w:color w:val="000000"/>
          <w:sz w:val="32"/>
          <w:szCs w:val="32"/>
          <w:lang w:val="en-US" w:eastAsia="zh-CN"/>
        </w:rPr>
        <w:t>502.32万元</w:t>
      </w:r>
      <w:r>
        <w:rPr>
          <w:rFonts w:hint="eastAsia" w:ascii="仿宋" w:hAnsi="仿宋" w:eastAsia="仿宋" w:cs="仿宋"/>
          <w:b w:val="0"/>
          <w:bCs w:val="0"/>
          <w:color w:val="000000"/>
          <w:sz w:val="32"/>
          <w:szCs w:val="32"/>
        </w:rPr>
        <w:t>。与201</w:t>
      </w:r>
      <w:r>
        <w:rPr>
          <w:rFonts w:hint="eastAsia" w:ascii="仿宋" w:hAnsi="仿宋" w:eastAsia="仿宋" w:cs="仿宋"/>
          <w:b w:val="0"/>
          <w:bCs w:val="0"/>
          <w:color w:val="000000"/>
          <w:sz w:val="32"/>
          <w:szCs w:val="32"/>
          <w:lang w:val="en-US" w:eastAsia="zh-CN"/>
        </w:rPr>
        <w:t>7</w:t>
      </w:r>
      <w:r>
        <w:rPr>
          <w:rFonts w:hint="eastAsia" w:ascii="仿宋" w:hAnsi="仿宋" w:eastAsia="仿宋" w:cs="仿宋"/>
          <w:b w:val="0"/>
          <w:bCs w:val="0"/>
          <w:color w:val="000000"/>
          <w:sz w:val="32"/>
          <w:szCs w:val="32"/>
        </w:rPr>
        <w:t>年相比，财政拨款收</w:t>
      </w:r>
      <w:r>
        <w:rPr>
          <w:rFonts w:hint="eastAsia" w:ascii="仿宋" w:hAnsi="仿宋" w:eastAsia="仿宋" w:cs="仿宋"/>
          <w:b w:val="0"/>
          <w:bCs w:val="0"/>
          <w:color w:val="000000"/>
          <w:sz w:val="32"/>
          <w:szCs w:val="32"/>
          <w:lang w:eastAsia="zh-CN"/>
        </w:rPr>
        <w:t>入减少</w:t>
      </w:r>
      <w:r>
        <w:rPr>
          <w:rFonts w:hint="eastAsia" w:ascii="仿宋" w:hAnsi="仿宋" w:eastAsia="仿宋" w:cs="仿宋"/>
          <w:b w:val="0"/>
          <w:bCs w:val="0"/>
          <w:color w:val="000000"/>
          <w:sz w:val="32"/>
          <w:szCs w:val="32"/>
          <w:lang w:val="en-US" w:eastAsia="zh-CN"/>
        </w:rPr>
        <w:t>3.2万元，</w:t>
      </w:r>
      <w:r>
        <w:rPr>
          <w:rFonts w:hint="eastAsia" w:ascii="仿宋" w:hAnsi="仿宋" w:eastAsia="仿宋" w:cs="仿宋"/>
          <w:b w:val="0"/>
          <w:bCs w:val="0"/>
          <w:color w:val="000000"/>
          <w:sz w:val="32"/>
          <w:szCs w:val="32"/>
        </w:rPr>
        <w:t>支</w:t>
      </w:r>
      <w:r>
        <w:rPr>
          <w:rFonts w:hint="eastAsia" w:ascii="仿宋" w:hAnsi="仿宋" w:eastAsia="仿宋" w:cs="仿宋"/>
          <w:b w:val="0"/>
          <w:bCs w:val="0"/>
          <w:color w:val="000000"/>
          <w:sz w:val="32"/>
          <w:szCs w:val="32"/>
          <w:lang w:eastAsia="zh-CN"/>
        </w:rPr>
        <w:t>出增多</w:t>
      </w:r>
      <w:r>
        <w:rPr>
          <w:rFonts w:hint="eastAsia" w:ascii="仿宋" w:hAnsi="仿宋" w:eastAsia="仿宋" w:cs="仿宋"/>
          <w:b w:val="0"/>
          <w:bCs w:val="0"/>
          <w:color w:val="000000"/>
          <w:sz w:val="32"/>
          <w:szCs w:val="32"/>
          <w:lang w:val="en-US" w:eastAsia="zh-CN"/>
        </w:rPr>
        <w:t>14.93万元。收入</w:t>
      </w:r>
      <w:r>
        <w:rPr>
          <w:rFonts w:hint="eastAsia" w:ascii="仿宋" w:hAnsi="仿宋" w:eastAsia="仿宋" w:cs="仿宋"/>
          <w:b w:val="0"/>
          <w:bCs w:val="0"/>
          <w:color w:val="000000"/>
          <w:sz w:val="32"/>
          <w:szCs w:val="32"/>
          <w:lang w:eastAsia="zh-CN"/>
        </w:rPr>
        <w:t>降低</w:t>
      </w:r>
      <w:r>
        <w:rPr>
          <w:rFonts w:hint="eastAsia" w:ascii="仿宋" w:hAnsi="仿宋" w:eastAsia="仿宋" w:cs="仿宋"/>
          <w:b w:val="0"/>
          <w:bCs w:val="0"/>
          <w:color w:val="000000"/>
          <w:sz w:val="32"/>
          <w:szCs w:val="32"/>
          <w:lang w:val="en-US" w:eastAsia="zh-CN"/>
        </w:rPr>
        <w:t>0.93</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，支出涨3.06</w:t>
      </w:r>
      <w:r>
        <w:rPr>
          <w:rFonts w:hint="eastAsia" w:ascii="仿宋" w:hAnsi="仿宋" w:eastAsia="仿宋" w:cs="仿宋"/>
          <w:b w:val="0"/>
          <w:bCs w:val="0"/>
          <w:color w:val="000000"/>
          <w:sz w:val="32"/>
          <w:szCs w:val="32"/>
        </w:rPr>
        <w:t>%。</w:t>
      </w:r>
    </w:p>
    <w:p>
      <w:p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3、大田医院财政拨款支出主要用于保障该部门机构正常运转、完成日常工作任务以及承担全乡医疗卫生与计划生育事业发展相关工作。  </w:t>
      </w:r>
    </w:p>
    <w:p>
      <w:p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大田医院基本支出，是用于保障大田医院正常运转的日常支出，包括基本工资、津贴补贴等人员经费以及办公费、印刷费、水电费、办公设备购置等日常公用经费。</w:t>
      </w:r>
    </w:p>
    <w:p>
      <w:p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大田医院项目支出，是用于保障本医院完成特定的行政工作任务或事业发展目标，用于专项业务工作的经费支出。</w:t>
      </w:r>
    </w:p>
    <w:p>
      <w:p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按支出功能分类主要用于以下方面:                                                                                                                                                                                                                                                                                                                                                                                                                                                                                                                                                                                                                                                                                                                                                                                                                                                                                                                                                                                                                                                                                                                                                                                                                                                                                                                                      </w:t>
      </w:r>
    </w:p>
    <w:p>
      <w:pPr>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（一）医疗卫生与计划生育支出，主要用于基层医疗卫生机构—乡镇卫生院人员基本工资，津贴补贴，离退休费。</w:t>
      </w:r>
    </w:p>
    <w:p>
      <w:pPr>
        <w:pStyle w:val="30"/>
        <w:widowControl/>
        <w:shd w:val="clear" w:color="060000" w:fill="FFFFFF"/>
        <w:spacing w:line="520" w:lineRule="exact"/>
        <w:ind w:firstLine="640"/>
        <w:jc w:val="both"/>
        <w:rPr>
          <w:rFonts w:hint="eastAsia" w:ascii="仿宋" w:hAnsi="仿宋" w:eastAsia="仿宋" w:cs="仿宋"/>
          <w:b w:val="0"/>
          <w:bCs w:val="0"/>
          <w:color w:val="333333"/>
          <w:sz w:val="32"/>
          <w:szCs w:val="32"/>
        </w:rPr>
      </w:pPr>
      <w:r>
        <w:rPr>
          <w:rFonts w:hint="eastAsia" w:ascii="仿宋" w:hAnsi="仿宋" w:eastAsia="仿宋" w:cs="仿宋"/>
          <w:b w:val="0"/>
          <w:bCs w:val="0"/>
          <w:sz w:val="32"/>
          <w:szCs w:val="32"/>
        </w:rPr>
        <w:t>（二）住房保障支出，主要用于职工住房公积金支出。</w:t>
      </w:r>
    </w:p>
    <w:p>
      <w:pPr>
        <w:pStyle w:val="30"/>
        <w:widowControl/>
        <w:shd w:val="clear" w:color="060000" w:fill="FFFFFF"/>
        <w:spacing w:line="520" w:lineRule="exact"/>
        <w:ind w:firstLine="640"/>
        <w:jc w:val="both"/>
        <w:rPr>
          <w:rFonts w:hint="eastAsia" w:ascii="仿宋" w:hAnsi="仿宋" w:eastAsia="仿宋" w:cs="仿宋"/>
          <w:b w:val="0"/>
          <w:bCs w:val="0"/>
          <w:color w:val="333333"/>
          <w:sz w:val="32"/>
          <w:szCs w:val="32"/>
          <w:shd w:val="clear" w:color="080000" w:fill="FFFFFF"/>
        </w:rPr>
      </w:pPr>
      <w:r>
        <w:rPr>
          <w:rFonts w:hint="eastAsia" w:ascii="仿宋" w:hAnsi="仿宋" w:eastAsia="仿宋" w:cs="仿宋"/>
          <w:b w:val="0"/>
          <w:bCs w:val="0"/>
          <w:color w:val="333333"/>
          <w:sz w:val="32"/>
          <w:szCs w:val="32"/>
          <w:shd w:val="clear" w:color="080000" w:fill="FFFFFF"/>
        </w:rPr>
        <w:t>4、支出绩效情况</w:t>
      </w:r>
    </w:p>
    <w:p>
      <w:pPr>
        <w:pStyle w:val="30"/>
        <w:widowControl/>
        <w:shd w:val="clear" w:color="060000" w:fill="FFFFFF"/>
        <w:spacing w:line="520" w:lineRule="exact"/>
        <w:ind w:firstLine="640"/>
        <w:jc w:val="both"/>
        <w:rPr>
          <w:rFonts w:hint="eastAsia" w:ascii="仿宋" w:hAnsi="仿宋" w:eastAsia="仿宋" w:cs="仿宋"/>
          <w:b w:val="0"/>
          <w:bCs w:val="0"/>
          <w:color w:val="333333"/>
          <w:sz w:val="32"/>
          <w:szCs w:val="32"/>
        </w:rPr>
      </w:pPr>
      <w:r>
        <w:rPr>
          <w:rFonts w:hint="eastAsia" w:ascii="仿宋" w:hAnsi="仿宋" w:eastAsia="仿宋" w:cs="仿宋"/>
          <w:b w:val="0"/>
          <w:bCs w:val="0"/>
          <w:color w:val="333333"/>
          <w:sz w:val="32"/>
          <w:szCs w:val="32"/>
          <w:shd w:val="clear" w:color="080000" w:fill="FFFFFF"/>
        </w:rPr>
        <w:t>接受财政监督检查, 严格遵守各项财经纪律，加强单位的财务管理，制定了财务监督管理相关制度，加强预算编制和执行，统一全局财务收支管理，确保每年财政预算收支平衡， 保证了工作的正常开展和目标任务的完成。结合我院实际制定《仁和区大田医院内部控制制度》、《</w:t>
      </w:r>
      <w:r>
        <w:rPr>
          <w:rFonts w:hint="eastAsia" w:ascii="仿宋" w:hAnsi="仿宋" w:eastAsia="仿宋" w:cs="仿宋"/>
          <w:b w:val="0"/>
          <w:bCs w:val="0"/>
          <w:color w:val="000000"/>
          <w:sz w:val="32"/>
          <w:szCs w:val="32"/>
          <w:shd w:val="clear" w:color="080000" w:fill="FFFFFF"/>
        </w:rPr>
        <w:t>仁和区大田医院预算管理制度</w:t>
      </w:r>
      <w:r>
        <w:rPr>
          <w:rFonts w:hint="eastAsia" w:ascii="仿宋" w:hAnsi="仿宋" w:eastAsia="仿宋" w:cs="仿宋"/>
          <w:b w:val="0"/>
          <w:bCs w:val="0"/>
          <w:color w:val="333333"/>
          <w:sz w:val="32"/>
          <w:szCs w:val="32"/>
          <w:shd w:val="clear" w:color="080000" w:fill="FFFFFF"/>
        </w:rPr>
        <w:t>》、《</w:t>
      </w:r>
      <w:r>
        <w:rPr>
          <w:rFonts w:hint="eastAsia" w:ascii="仿宋" w:hAnsi="仿宋" w:eastAsia="仿宋" w:cs="仿宋"/>
          <w:b w:val="0"/>
          <w:bCs w:val="0"/>
          <w:color w:val="000000"/>
          <w:sz w:val="32"/>
          <w:szCs w:val="32"/>
          <w:shd w:val="clear" w:color="080000" w:fill="FFFFFF"/>
        </w:rPr>
        <w:t>仁和区大田医院财务管理制度</w:t>
      </w:r>
      <w:r>
        <w:rPr>
          <w:rFonts w:hint="eastAsia" w:ascii="仿宋" w:hAnsi="仿宋" w:eastAsia="仿宋" w:cs="仿宋"/>
          <w:b w:val="0"/>
          <w:bCs w:val="0"/>
          <w:color w:val="333333"/>
          <w:sz w:val="32"/>
          <w:szCs w:val="32"/>
          <w:shd w:val="clear" w:color="080000" w:fill="FFFFFF"/>
        </w:rPr>
        <w:t>》和《</w:t>
      </w:r>
      <w:r>
        <w:rPr>
          <w:rFonts w:hint="eastAsia" w:ascii="仿宋" w:hAnsi="仿宋" w:eastAsia="仿宋" w:cs="仿宋"/>
          <w:b w:val="0"/>
          <w:bCs w:val="0"/>
          <w:color w:val="000000"/>
          <w:sz w:val="32"/>
          <w:szCs w:val="32"/>
          <w:shd w:val="clear" w:color="080000" w:fill="FFFFFF"/>
        </w:rPr>
        <w:t>仁和区大田医院经费审批管理制度</w:t>
      </w:r>
      <w:r>
        <w:rPr>
          <w:rFonts w:hint="eastAsia" w:ascii="仿宋" w:hAnsi="仿宋" w:eastAsia="仿宋" w:cs="仿宋"/>
          <w:b w:val="0"/>
          <w:bCs w:val="0"/>
          <w:color w:val="333333"/>
          <w:sz w:val="32"/>
          <w:szCs w:val="32"/>
          <w:shd w:val="clear" w:color="080000" w:fill="FFFFFF"/>
        </w:rPr>
        <w:t>》《</w:t>
      </w:r>
      <w:r>
        <w:rPr>
          <w:rFonts w:hint="eastAsia" w:ascii="仿宋" w:hAnsi="仿宋" w:eastAsia="仿宋" w:cs="仿宋"/>
          <w:b w:val="0"/>
          <w:bCs w:val="0"/>
          <w:color w:val="000000"/>
          <w:sz w:val="32"/>
          <w:szCs w:val="32"/>
          <w:shd w:val="clear" w:color="080000" w:fill="FFFFFF"/>
        </w:rPr>
        <w:t>仁和区大田医院收入管理制度</w:t>
      </w:r>
      <w:r>
        <w:rPr>
          <w:rFonts w:hint="eastAsia" w:ascii="仿宋" w:hAnsi="仿宋" w:eastAsia="仿宋" w:cs="仿宋"/>
          <w:b w:val="0"/>
          <w:bCs w:val="0"/>
          <w:color w:val="333333"/>
          <w:sz w:val="32"/>
          <w:szCs w:val="32"/>
          <w:shd w:val="clear" w:color="080000" w:fill="FFFFFF"/>
        </w:rPr>
        <w:t>》《</w:t>
      </w:r>
      <w:r>
        <w:rPr>
          <w:rFonts w:hint="eastAsia" w:ascii="仿宋" w:hAnsi="仿宋" w:eastAsia="仿宋" w:cs="仿宋"/>
          <w:b w:val="0"/>
          <w:bCs w:val="0"/>
          <w:color w:val="000000"/>
          <w:sz w:val="32"/>
          <w:szCs w:val="32"/>
          <w:shd w:val="clear" w:color="080000" w:fill="FFFFFF"/>
        </w:rPr>
        <w:t>仁和区大田医院支出管理制度</w:t>
      </w:r>
      <w:r>
        <w:rPr>
          <w:rFonts w:hint="eastAsia" w:ascii="仿宋" w:hAnsi="仿宋" w:eastAsia="仿宋" w:cs="仿宋"/>
          <w:b w:val="0"/>
          <w:bCs w:val="0"/>
          <w:color w:val="333333"/>
          <w:sz w:val="32"/>
          <w:szCs w:val="32"/>
          <w:shd w:val="clear" w:color="080000" w:fill="FFFFFF"/>
        </w:rPr>
        <w:t>》《</w:t>
      </w:r>
      <w:r>
        <w:rPr>
          <w:rFonts w:hint="eastAsia" w:ascii="仿宋" w:hAnsi="仿宋" w:eastAsia="仿宋" w:cs="仿宋"/>
          <w:b w:val="0"/>
          <w:bCs w:val="0"/>
          <w:color w:val="000000"/>
          <w:sz w:val="32"/>
          <w:szCs w:val="32"/>
          <w:shd w:val="clear" w:color="080000" w:fill="FFFFFF"/>
        </w:rPr>
        <w:t>仁和区大田医院票证管理制度</w:t>
      </w:r>
      <w:r>
        <w:rPr>
          <w:rFonts w:hint="eastAsia" w:ascii="仿宋" w:hAnsi="仿宋" w:eastAsia="仿宋" w:cs="仿宋"/>
          <w:b w:val="0"/>
          <w:bCs w:val="0"/>
          <w:color w:val="333333"/>
          <w:sz w:val="32"/>
          <w:szCs w:val="32"/>
          <w:shd w:val="clear" w:color="080000" w:fill="FFFFFF"/>
        </w:rPr>
        <w:t>》《</w:t>
      </w:r>
      <w:r>
        <w:rPr>
          <w:rFonts w:hint="eastAsia" w:ascii="仿宋" w:hAnsi="仿宋" w:eastAsia="仿宋" w:cs="仿宋"/>
          <w:b w:val="0"/>
          <w:bCs w:val="0"/>
          <w:color w:val="000000"/>
          <w:sz w:val="32"/>
          <w:szCs w:val="32"/>
          <w:shd w:val="clear" w:color="080000" w:fill="FFFFFF"/>
        </w:rPr>
        <w:t>仁和区大田医院报账员职责</w:t>
      </w:r>
      <w:r>
        <w:rPr>
          <w:rFonts w:hint="eastAsia" w:ascii="仿宋" w:hAnsi="仿宋" w:eastAsia="仿宋" w:cs="仿宋"/>
          <w:b w:val="0"/>
          <w:bCs w:val="0"/>
          <w:color w:val="333333"/>
          <w:sz w:val="32"/>
          <w:szCs w:val="32"/>
          <w:shd w:val="clear" w:color="080000" w:fill="FFFFFF"/>
        </w:rPr>
        <w:t>》等相关制度，建立和完善财务收支审批制度、会计人员岗位责任制度等各项内部控制管理制度，相关人员在工作过程中严格遵守规章制度，有效地实施了内部监督和控制，保证了会计资料的真实性、完整性，加强了对本单位财产物资的监督和管理，杜绝了各种漏洞的发生，会计监督到位，经济运行透明，经济责任得以明确和落实。在规定的时间范围内，及时在仁和区公众信息网中公开本单位的预、决算信息，自觉接受广大人民群众的监督。</w:t>
      </w:r>
    </w:p>
    <w:p>
      <w:pPr>
        <w:spacing w:line="580" w:lineRule="exact"/>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ascii="黑体" w:hAnsi="黑体" w:eastAsia="黑体" w:cs="黑体"/>
          <w:sz w:val="32"/>
          <w:szCs w:val="32"/>
        </w:rPr>
        <w:t>三、部门整体预算绩效管理情况</w:t>
      </w:r>
    </w:p>
    <w:p>
      <w:pPr>
        <w:pStyle w:val="30"/>
        <w:widowControl/>
        <w:shd w:val="clear" w:color="060000" w:fill="FFFFFF"/>
        <w:spacing w:line="520" w:lineRule="exact"/>
        <w:ind w:firstLine="602"/>
        <w:jc w:val="both"/>
        <w:rPr>
          <w:rFonts w:hint="eastAsia" w:ascii="仿宋" w:hAnsi="仿宋" w:eastAsia="仿宋" w:cs="仿宋"/>
          <w:b w:val="0"/>
          <w:bCs w:val="0"/>
          <w:color w:val="333333"/>
          <w:sz w:val="32"/>
          <w:szCs w:val="32"/>
        </w:rPr>
      </w:pPr>
      <w:r>
        <w:rPr>
          <w:rFonts w:hint="eastAsia" w:ascii="仿宋" w:hAnsi="仿宋" w:eastAsia="仿宋" w:cs="仿宋"/>
          <w:b w:val="0"/>
          <w:bCs w:val="0"/>
          <w:color w:val="333333"/>
          <w:sz w:val="32"/>
          <w:szCs w:val="32"/>
          <w:shd w:val="clear" w:color="080000" w:fill="FFFFFF"/>
        </w:rPr>
        <w:t>按照区卫计局及上级部门的统一部署，根据2017年年末的工作安排，</w:t>
      </w:r>
      <w:r>
        <w:rPr>
          <w:rFonts w:hint="eastAsia" w:ascii="仿宋" w:hAnsi="仿宋" w:eastAsia="仿宋" w:cs="仿宋"/>
          <w:b w:val="0"/>
          <w:bCs w:val="0"/>
          <w:color w:val="444444"/>
          <w:sz w:val="32"/>
          <w:szCs w:val="32"/>
          <w:shd w:val="clear" w:color="080000" w:fill="FFFFFF"/>
        </w:rPr>
        <w:t>今年的卫生</w:t>
      </w:r>
      <w:r>
        <w:rPr>
          <w:rFonts w:hint="eastAsia" w:ascii="仿宋" w:hAnsi="仿宋" w:eastAsia="仿宋" w:cs="仿宋"/>
          <w:b w:val="0"/>
          <w:bCs w:val="0"/>
          <w:color w:val="444444"/>
          <w:sz w:val="32"/>
          <w:szCs w:val="32"/>
          <w:shd w:val="clear" w:color="080000" w:fill="FFFFFF"/>
          <w:lang w:eastAsia="zh-CN"/>
        </w:rPr>
        <w:t>医疗</w:t>
      </w:r>
      <w:r>
        <w:rPr>
          <w:rFonts w:hint="eastAsia" w:ascii="仿宋" w:hAnsi="仿宋" w:eastAsia="仿宋" w:cs="仿宋"/>
          <w:b w:val="0"/>
          <w:bCs w:val="0"/>
          <w:color w:val="444444"/>
          <w:sz w:val="32"/>
          <w:szCs w:val="32"/>
          <w:shd w:val="clear" w:color="080000" w:fill="FFFFFF"/>
        </w:rPr>
        <w:t>工作，我院进一步强化领导干部和职工队伍的建设，强化医德医风、服务理念的转变，强化各项规章制度的建立健全，强化医疗质量、医疗安全的保障，切实推进卫生计生各项工作的深入开展。基本公共卫生服务方面：一是大力推进建立居民健康档案工作；二是积极开展健康教育；三是加强妇幼管理工作；四加强老年人、慢性病和重性精神病管理工作。五加强疾病预防控制工作。六有效履行卫生监督协管职责；七加强死因报告工作；计划生育工作方面：一是</w:t>
      </w:r>
      <w:r>
        <w:rPr>
          <w:rFonts w:hint="eastAsia" w:ascii="仿宋" w:hAnsi="仿宋" w:eastAsia="仿宋" w:cs="仿宋"/>
          <w:b w:val="0"/>
          <w:bCs w:val="0"/>
          <w:color w:val="000000"/>
          <w:sz w:val="32"/>
          <w:szCs w:val="32"/>
          <w:shd w:val="clear" w:color="080000" w:fill="FFFFFF"/>
        </w:rPr>
        <w:t>进一步加强宣传力度；二是加强</w:t>
      </w:r>
      <w:r>
        <w:rPr>
          <w:rFonts w:hint="eastAsia" w:ascii="仿宋" w:hAnsi="仿宋" w:eastAsia="仿宋" w:cs="仿宋"/>
          <w:b w:val="0"/>
          <w:bCs w:val="0"/>
          <w:color w:val="333333"/>
          <w:sz w:val="32"/>
          <w:szCs w:val="32"/>
          <w:shd w:val="clear" w:color="080000" w:fill="FFFFFF"/>
        </w:rPr>
        <w:t>技术服务培训，争创优质服务；三是规范避孕药具管理，为已婚妇女提供优质、安全有效的避孕药具；四是做好医学监护（二查、四查）工作；五是抓好优生促进工程；六是加强流动人口管理。扶贫工作方面：一是开展贫困户因病致贫情况筛查；二是对建档立卡贫困户实施动态管理，家庭医生签约服务。三是开展健康扶贫。其他方面：一是</w:t>
      </w:r>
      <w:r>
        <w:rPr>
          <w:rFonts w:hint="eastAsia" w:ascii="仿宋" w:hAnsi="仿宋" w:eastAsia="仿宋" w:cs="仿宋"/>
          <w:b w:val="0"/>
          <w:bCs w:val="0"/>
          <w:color w:val="444444"/>
          <w:sz w:val="32"/>
          <w:szCs w:val="32"/>
          <w:shd w:val="clear" w:color="080000" w:fill="FFFFFF"/>
        </w:rPr>
        <w:t>狠抓医疗质量与服务水平提高，进一步完善医疗核心制度，加强卫生法律法规、医疗核心制度的学习、培训，强化医务人员医疗安全意识，提高医疗技术水平。二是抓好生产安全工作，确保实卫生院各项工作的顺利进行。三是认真细致做好城乡居民医保工作。</w:t>
      </w:r>
    </w:p>
    <w:p>
      <w:pPr>
        <w:spacing w:line="580" w:lineRule="exact"/>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ascii="黑体" w:hAnsi="黑体" w:eastAsia="黑体" w:cs="黑体"/>
          <w:sz w:val="32"/>
          <w:szCs w:val="32"/>
        </w:rPr>
        <w:t>四、评价结论及建议</w:t>
      </w:r>
    </w:p>
    <w:p>
      <w:pPr>
        <w:numPr>
          <w:ilvl w:val="0"/>
          <w:numId w:val="4"/>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评价结论。</w:t>
      </w:r>
    </w:p>
    <w:p>
      <w:pPr>
        <w:numPr>
          <w:ilvl w:val="0"/>
          <w:numId w:val="0"/>
        </w:numPr>
        <w:spacing w:line="580" w:lineRule="exact"/>
        <w:rPr>
          <w:rFonts w:ascii="仿宋" w:hAnsi="仿宋" w:eastAsia="仿宋" w:cs="仿宋_GB2312"/>
          <w:sz w:val="32"/>
          <w:szCs w:val="32"/>
        </w:rPr>
      </w:pPr>
      <w:r>
        <w:rPr>
          <w:rFonts w:hint="eastAsia" w:ascii="仿宋" w:hAnsi="仿宋" w:eastAsia="仿宋" w:cs="仿宋"/>
          <w:b w:val="0"/>
          <w:bCs w:val="0"/>
          <w:i w:val="0"/>
          <w:caps w:val="0"/>
          <w:color w:val="333333"/>
          <w:spacing w:val="0"/>
          <w:sz w:val="32"/>
          <w:szCs w:val="32"/>
          <w:lang w:val="en-US" w:eastAsia="zh-CN"/>
        </w:rPr>
        <w:t xml:space="preserve">   </w:t>
      </w:r>
      <w:r>
        <w:rPr>
          <w:rFonts w:hint="eastAsia" w:ascii="仿宋" w:hAnsi="仿宋" w:eastAsia="仿宋" w:cs="仿宋"/>
          <w:b w:val="0"/>
          <w:bCs w:val="0"/>
          <w:i w:val="0"/>
          <w:caps w:val="0"/>
          <w:color w:val="333333"/>
          <w:spacing w:val="0"/>
          <w:sz w:val="32"/>
          <w:szCs w:val="32"/>
        </w:rPr>
        <w:t>按照财政部门整体支出绩效评价指标细则，我院自评得分9</w:t>
      </w:r>
      <w:r>
        <w:rPr>
          <w:rFonts w:hint="eastAsia" w:ascii="仿宋" w:hAnsi="仿宋" w:eastAsia="仿宋" w:cs="仿宋"/>
          <w:b w:val="0"/>
          <w:bCs w:val="0"/>
          <w:i w:val="0"/>
          <w:caps w:val="0"/>
          <w:color w:val="333333"/>
          <w:spacing w:val="0"/>
          <w:sz w:val="32"/>
          <w:szCs w:val="32"/>
          <w:lang w:val="en-US" w:eastAsia="zh-CN"/>
        </w:rPr>
        <w:t>1</w:t>
      </w:r>
      <w:r>
        <w:rPr>
          <w:rFonts w:hint="eastAsia" w:ascii="仿宋" w:hAnsi="仿宋" w:eastAsia="仿宋" w:cs="仿宋"/>
          <w:b w:val="0"/>
          <w:bCs w:val="0"/>
          <w:i w:val="0"/>
          <w:caps w:val="0"/>
          <w:color w:val="333333"/>
          <w:spacing w:val="0"/>
          <w:sz w:val="32"/>
          <w:szCs w:val="32"/>
        </w:rPr>
        <w:t>分，总体评价良好。</w:t>
      </w:r>
    </w:p>
    <w:p>
      <w:pPr>
        <w:numPr>
          <w:ilvl w:val="0"/>
          <w:numId w:val="4"/>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存在问题。</w:t>
      </w:r>
    </w:p>
    <w:p>
      <w:pPr>
        <w:pStyle w:val="30"/>
        <w:widowControl/>
        <w:shd w:val="clear" w:color="060000" w:fill="FFFFFF"/>
        <w:spacing w:line="520" w:lineRule="exact"/>
        <w:ind w:firstLine="640"/>
        <w:jc w:val="both"/>
        <w:rPr>
          <w:rFonts w:hint="eastAsia" w:ascii="仿宋" w:hAnsi="仿宋" w:eastAsia="仿宋" w:cs="仿宋"/>
          <w:b w:val="0"/>
          <w:bCs w:val="0"/>
          <w:color w:val="333333"/>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
          <w:b w:val="0"/>
          <w:bCs w:val="0"/>
          <w:color w:val="333333"/>
          <w:sz w:val="32"/>
          <w:szCs w:val="32"/>
          <w:shd w:val="clear" w:color="080000" w:fill="FFFFFF"/>
        </w:rPr>
        <w:t>从这次的绩效自评结果看，我院项目实施情况整体良好，各科室工作积极主动，使资金发挥了其应有的经济及社会效益，当然也存在一些问题：</w:t>
      </w:r>
    </w:p>
    <w:p>
      <w:pPr>
        <w:pStyle w:val="30"/>
        <w:widowControl/>
        <w:shd w:val="clear" w:color="060000" w:fill="FFFFFF"/>
        <w:spacing w:line="520" w:lineRule="exact"/>
        <w:ind w:firstLine="640"/>
        <w:jc w:val="both"/>
        <w:rPr>
          <w:rFonts w:hint="eastAsia" w:ascii="仿宋" w:hAnsi="仿宋" w:eastAsia="仿宋" w:cs="仿宋"/>
          <w:b w:val="0"/>
          <w:bCs w:val="0"/>
          <w:color w:val="333333"/>
          <w:sz w:val="32"/>
          <w:szCs w:val="32"/>
        </w:rPr>
      </w:pPr>
      <w:r>
        <w:rPr>
          <w:rFonts w:hint="eastAsia" w:ascii="仿宋" w:hAnsi="仿宋" w:eastAsia="仿宋" w:cs="仿宋"/>
          <w:b w:val="0"/>
          <w:bCs w:val="0"/>
          <w:color w:val="333333"/>
          <w:sz w:val="32"/>
          <w:szCs w:val="32"/>
          <w:shd w:val="clear" w:color="080000" w:fill="FFFFFF"/>
        </w:rPr>
        <w:t>1、预算细化程度不够，造成了预算数与执行数的差异；</w:t>
      </w:r>
    </w:p>
    <w:p>
      <w:pPr>
        <w:pStyle w:val="30"/>
        <w:widowControl/>
        <w:shd w:val="clear" w:color="060000" w:fill="FFFFFF"/>
        <w:spacing w:line="520" w:lineRule="exact"/>
        <w:jc w:val="both"/>
        <w:rPr>
          <w:rFonts w:hint="eastAsia" w:ascii="仿宋" w:hAnsi="仿宋" w:eastAsia="仿宋" w:cs="仿宋"/>
          <w:b w:val="0"/>
          <w:bCs w:val="0"/>
          <w:color w:val="333333"/>
          <w:sz w:val="32"/>
          <w:szCs w:val="32"/>
        </w:rPr>
      </w:pPr>
      <w:r>
        <w:rPr>
          <w:rFonts w:hint="eastAsia" w:ascii="仿宋" w:hAnsi="仿宋" w:eastAsia="仿宋" w:cs="仿宋"/>
          <w:b w:val="0"/>
          <w:bCs w:val="0"/>
          <w:color w:val="333333"/>
          <w:sz w:val="32"/>
          <w:szCs w:val="32"/>
          <w:shd w:val="clear" w:color="080000" w:fill="FFFFFF"/>
        </w:rPr>
        <w:t>      2、项目资金预算不足，无法解决</w:t>
      </w:r>
      <w:r>
        <w:rPr>
          <w:rFonts w:hint="eastAsia" w:ascii="仿宋" w:hAnsi="仿宋" w:eastAsia="仿宋" w:cs="仿宋"/>
          <w:b w:val="0"/>
          <w:bCs w:val="0"/>
          <w:color w:val="444444"/>
          <w:sz w:val="32"/>
          <w:szCs w:val="32"/>
          <w:shd w:val="clear" w:color="080000" w:fill="FFFFFF"/>
        </w:rPr>
        <w:t>设备简陋的问题，制约了医院的发展；</w:t>
      </w:r>
    </w:p>
    <w:p>
      <w:pPr>
        <w:numPr>
          <w:ilvl w:val="0"/>
          <w:numId w:val="0"/>
        </w:numPr>
        <w:spacing w:line="580" w:lineRule="exact"/>
        <w:rPr>
          <w:rFonts w:hint="eastAsia" w:ascii="仿宋" w:hAnsi="仿宋" w:eastAsia="仿宋" w:cs="仿宋_GB2312"/>
          <w:sz w:val="32"/>
          <w:szCs w:val="32"/>
          <w:lang w:val="en-US" w:eastAsia="zh-CN"/>
        </w:rPr>
      </w:pPr>
      <w:r>
        <w:rPr>
          <w:rFonts w:hint="eastAsia" w:ascii="仿宋" w:hAnsi="仿宋" w:eastAsia="仿宋" w:cs="仿宋"/>
          <w:b w:val="0"/>
          <w:bCs w:val="0"/>
          <w:color w:val="333333"/>
          <w:sz w:val="32"/>
          <w:szCs w:val="32"/>
          <w:shd w:val="clear" w:color="080000" w:fill="FFFFFF"/>
        </w:rPr>
        <w:t>3．预算执行完成后的绩效管理还有待完善和加强。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b w:val="0"/>
          <w:bCs w:val="0"/>
          <w:i w:val="0"/>
          <w:caps w:val="0"/>
          <w:color w:val="333333"/>
          <w:spacing w:val="0"/>
          <w:sz w:val="32"/>
          <w:szCs w:val="32"/>
        </w:rPr>
      </w:pPr>
      <w:r>
        <w:rPr>
          <w:rFonts w:hint="eastAsia" w:ascii="仿宋" w:hAnsi="仿宋" w:eastAsia="仿宋" w:cs="仿宋"/>
          <w:b w:val="0"/>
          <w:bCs w:val="0"/>
          <w:i w:val="0"/>
          <w:caps w:val="0"/>
          <w:color w:val="333333"/>
          <w:spacing w:val="0"/>
          <w:sz w:val="32"/>
          <w:szCs w:val="32"/>
        </w:rPr>
        <w:t>加强业务办理人员的培训，确保按时完成</w:t>
      </w:r>
      <w:r>
        <w:rPr>
          <w:rFonts w:hint="eastAsia" w:ascii="仿宋" w:hAnsi="仿宋" w:eastAsia="仿宋" w:cs="仿宋"/>
          <w:b w:val="0"/>
          <w:bCs w:val="0"/>
          <w:i w:val="0"/>
          <w:caps w:val="0"/>
          <w:color w:val="333333"/>
          <w:spacing w:val="0"/>
          <w:sz w:val="32"/>
          <w:szCs w:val="32"/>
          <w:lang w:eastAsia="zh-CN"/>
        </w:rPr>
        <w:t>医院</w:t>
      </w:r>
      <w:r>
        <w:rPr>
          <w:rFonts w:hint="eastAsia" w:ascii="仿宋" w:hAnsi="仿宋" w:eastAsia="仿宋" w:cs="仿宋"/>
          <w:b w:val="0"/>
          <w:bCs w:val="0"/>
          <w:i w:val="0"/>
          <w:caps w:val="0"/>
          <w:color w:val="333333"/>
          <w:spacing w:val="0"/>
          <w:sz w:val="32"/>
          <w:szCs w:val="32"/>
        </w:rPr>
        <w:t>各项工作</w:t>
      </w:r>
      <w:r>
        <w:rPr>
          <w:rFonts w:hint="eastAsia" w:ascii="仿宋" w:hAnsi="仿宋" w:eastAsia="仿宋" w:cs="仿宋"/>
          <w:b w:val="0"/>
          <w:bCs w:val="0"/>
          <w:i w:val="0"/>
          <w:caps w:val="0"/>
          <w:color w:val="333333"/>
          <w:spacing w:val="0"/>
          <w:sz w:val="32"/>
          <w:szCs w:val="32"/>
          <w:lang w:eastAsia="zh-CN"/>
        </w:rPr>
        <w:t>任务</w:t>
      </w:r>
      <w:r>
        <w:rPr>
          <w:rFonts w:hint="eastAsia" w:ascii="仿宋" w:hAnsi="仿宋" w:eastAsia="仿宋" w:cs="仿宋"/>
          <w:b w:val="0"/>
          <w:bCs w:val="0"/>
          <w:i w:val="0"/>
          <w:caps w:val="0"/>
          <w:color w:val="333333"/>
          <w:spacing w:val="0"/>
          <w:sz w:val="32"/>
          <w:szCs w:val="32"/>
        </w:rPr>
        <w:t>。</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hint="eastAsia" w:ascii="黑体" w:hAnsi="黑体" w:eastAsia="黑体"/>
          <w:color w:val="000000"/>
          <w:sz w:val="44"/>
          <w:szCs w:val="44"/>
        </w:rPr>
      </w:pPr>
      <w:r>
        <w:rPr>
          <w:rFonts w:ascii="仿宋_GB2312" w:hAnsi="仿宋_GB2312" w:eastAsia="仿宋_GB2312" w:cs="仿宋_GB2312"/>
          <w:sz w:val="32"/>
          <w:szCs w:val="32"/>
        </w:rPr>
        <w:br w:type="page"/>
      </w:r>
      <w:bookmarkStart w:id="35" w:name="_Toc15396618"/>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31"/>
      <w:bookmarkEnd w:id="35"/>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36"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36"/>
    </w:p>
    <w:p>
      <w:pPr>
        <w:pStyle w:val="3"/>
        <w:rPr>
          <w:rFonts w:ascii="仿宋" w:hAnsi="仿宋" w:eastAsia="仿宋"/>
          <w:color w:val="000000"/>
        </w:rPr>
      </w:pPr>
      <w:bookmarkStart w:id="37"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37"/>
    </w:p>
    <w:p>
      <w:pPr>
        <w:pStyle w:val="3"/>
        <w:rPr>
          <w:rFonts w:ascii="仿宋" w:hAnsi="仿宋" w:eastAsia="仿宋"/>
          <w:color w:val="000000"/>
        </w:rPr>
      </w:pPr>
      <w:bookmarkStart w:id="38"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38"/>
    </w:p>
    <w:p>
      <w:pPr>
        <w:pStyle w:val="3"/>
        <w:rPr>
          <w:rFonts w:ascii="仿宋" w:hAnsi="仿宋" w:eastAsia="仿宋"/>
          <w:b w:val="0"/>
          <w:color w:val="000000"/>
        </w:rPr>
      </w:pPr>
      <w:bookmarkStart w:id="39"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39"/>
    </w:p>
    <w:p>
      <w:pPr>
        <w:pStyle w:val="3"/>
        <w:rPr>
          <w:rFonts w:ascii="仿宋" w:hAnsi="仿宋" w:eastAsia="仿宋"/>
          <w:color w:val="000000"/>
        </w:rPr>
      </w:pPr>
      <w:bookmarkStart w:id="40"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40"/>
    </w:p>
    <w:p>
      <w:pPr>
        <w:pStyle w:val="3"/>
        <w:rPr>
          <w:rFonts w:ascii="仿宋" w:hAnsi="仿宋" w:eastAsia="仿宋"/>
          <w:color w:val="000000"/>
        </w:rPr>
      </w:pPr>
      <w:bookmarkStart w:id="41"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41"/>
    </w:p>
    <w:p>
      <w:pPr>
        <w:pStyle w:val="3"/>
        <w:rPr>
          <w:rFonts w:ascii="仿宋" w:hAnsi="仿宋" w:eastAsia="仿宋"/>
          <w:color w:val="000000"/>
        </w:rPr>
      </w:pPr>
      <w:bookmarkStart w:id="42"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42"/>
    </w:p>
    <w:p>
      <w:pPr>
        <w:pStyle w:val="3"/>
        <w:rPr>
          <w:rFonts w:ascii="仿宋" w:hAnsi="仿宋" w:eastAsia="仿宋"/>
          <w:color w:val="000000"/>
        </w:rPr>
      </w:pPr>
      <w:bookmarkStart w:id="43"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43"/>
    </w:p>
    <w:p>
      <w:pPr>
        <w:pStyle w:val="3"/>
        <w:rPr>
          <w:rFonts w:ascii="仿宋" w:hAnsi="仿宋" w:eastAsia="仿宋"/>
          <w:color w:val="000000"/>
        </w:rPr>
      </w:pPr>
      <w:bookmarkStart w:id="44"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44"/>
    </w:p>
    <w:p>
      <w:pPr>
        <w:pStyle w:val="3"/>
        <w:rPr>
          <w:rFonts w:ascii="仿宋" w:hAnsi="仿宋" w:eastAsia="仿宋"/>
          <w:color w:val="000000"/>
        </w:rPr>
      </w:pPr>
      <w:bookmarkStart w:id="45"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45"/>
    </w:p>
    <w:p>
      <w:pPr>
        <w:pStyle w:val="3"/>
        <w:rPr>
          <w:rFonts w:ascii="仿宋" w:hAnsi="仿宋" w:eastAsia="仿宋"/>
          <w:color w:val="000000"/>
        </w:rPr>
      </w:pPr>
      <w:bookmarkStart w:id="46"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46"/>
    </w:p>
    <w:p>
      <w:pPr>
        <w:pStyle w:val="3"/>
        <w:rPr>
          <w:rFonts w:ascii="仿宋" w:hAnsi="仿宋" w:eastAsia="仿宋"/>
          <w:color w:val="000000"/>
        </w:rPr>
      </w:pPr>
      <w:bookmarkStart w:id="47"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47"/>
    </w:p>
    <w:p>
      <w:pPr>
        <w:pStyle w:val="3"/>
        <w:rPr>
          <w:rFonts w:ascii="仿宋" w:hAnsi="仿宋" w:eastAsia="仿宋"/>
          <w:color w:val="000000" w:themeColor="text1"/>
        </w:rPr>
      </w:pPr>
      <w:bookmarkStart w:id="48"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4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Arial Black">
    <w:panose1 w:val="020B0A04020102020204"/>
    <w:charset w:val="00"/>
    <w:family w:val="swiss"/>
    <w:pitch w:val="variable"/>
    <w:sig w:usb0="00000287" w:usb1="00000000" w:usb2="00000000" w:usb3="00000000" w:csb0="2000009F" w:csb1="DFD70000"/>
  </w:font>
  <w:font w:name="Wide Latin">
    <w:altName w:val="PMingLiU"/>
    <w:panose1 w:val="020A0A07050505020404"/>
    <w:charset w:val="00"/>
    <w:family w:val="auto"/>
    <w:pitch w:val="default"/>
    <w:sig w:usb0="0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19</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DC50588"/>
    <w:multiLevelType w:val="singleLevel"/>
    <w:tmpl w:val="5DC50588"/>
    <w:lvl w:ilvl="0" w:tentative="0">
      <w:start w:val="1"/>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2D11"/>
    <w:rsid w:val="00020A33"/>
    <w:rsid w:val="000222C6"/>
    <w:rsid w:val="0002549F"/>
    <w:rsid w:val="00045695"/>
    <w:rsid w:val="0006487A"/>
    <w:rsid w:val="00065F8F"/>
    <w:rsid w:val="000768F2"/>
    <w:rsid w:val="0009184B"/>
    <w:rsid w:val="0009593C"/>
    <w:rsid w:val="000B047F"/>
    <w:rsid w:val="000B5923"/>
    <w:rsid w:val="000B5A48"/>
    <w:rsid w:val="000B6FF3"/>
    <w:rsid w:val="000C1F5F"/>
    <w:rsid w:val="000C3467"/>
    <w:rsid w:val="000C3CA6"/>
    <w:rsid w:val="000D1267"/>
    <w:rsid w:val="000D1D50"/>
    <w:rsid w:val="000D2BEA"/>
    <w:rsid w:val="000D5782"/>
    <w:rsid w:val="000E6613"/>
    <w:rsid w:val="000E7119"/>
    <w:rsid w:val="00114E9B"/>
    <w:rsid w:val="001203EF"/>
    <w:rsid w:val="0014729F"/>
    <w:rsid w:val="00157BAB"/>
    <w:rsid w:val="001654D1"/>
    <w:rsid w:val="0018106D"/>
    <w:rsid w:val="0018117D"/>
    <w:rsid w:val="0018226B"/>
    <w:rsid w:val="001877A7"/>
    <w:rsid w:val="00191536"/>
    <w:rsid w:val="00196687"/>
    <w:rsid w:val="00196847"/>
    <w:rsid w:val="001A5A57"/>
    <w:rsid w:val="001C0962"/>
    <w:rsid w:val="001C785E"/>
    <w:rsid w:val="001D7531"/>
    <w:rsid w:val="001E737D"/>
    <w:rsid w:val="001F0592"/>
    <w:rsid w:val="001F7506"/>
    <w:rsid w:val="002006CD"/>
    <w:rsid w:val="00202B36"/>
    <w:rsid w:val="002032FC"/>
    <w:rsid w:val="00204B7A"/>
    <w:rsid w:val="0021101A"/>
    <w:rsid w:val="00220536"/>
    <w:rsid w:val="00233EAC"/>
    <w:rsid w:val="00235629"/>
    <w:rsid w:val="00260C38"/>
    <w:rsid w:val="002616C0"/>
    <w:rsid w:val="002662AA"/>
    <w:rsid w:val="00280496"/>
    <w:rsid w:val="00295495"/>
    <w:rsid w:val="002B2613"/>
    <w:rsid w:val="002D5510"/>
    <w:rsid w:val="002F1818"/>
    <w:rsid w:val="002F2470"/>
    <w:rsid w:val="002F567B"/>
    <w:rsid w:val="003008B3"/>
    <w:rsid w:val="003216A9"/>
    <w:rsid w:val="00350642"/>
    <w:rsid w:val="00360BEE"/>
    <w:rsid w:val="0037013F"/>
    <w:rsid w:val="00380C92"/>
    <w:rsid w:val="00391DD9"/>
    <w:rsid w:val="0039473F"/>
    <w:rsid w:val="00397820"/>
    <w:rsid w:val="003A484F"/>
    <w:rsid w:val="003B0BE0"/>
    <w:rsid w:val="003B0C1B"/>
    <w:rsid w:val="003B688C"/>
    <w:rsid w:val="003C0291"/>
    <w:rsid w:val="003C39AE"/>
    <w:rsid w:val="003C7B60"/>
    <w:rsid w:val="003D1FB2"/>
    <w:rsid w:val="003D23DF"/>
    <w:rsid w:val="003D66DA"/>
    <w:rsid w:val="003E1310"/>
    <w:rsid w:val="003E6F55"/>
    <w:rsid w:val="00406254"/>
    <w:rsid w:val="004223DE"/>
    <w:rsid w:val="00434489"/>
    <w:rsid w:val="00437085"/>
    <w:rsid w:val="00442C3C"/>
    <w:rsid w:val="00443880"/>
    <w:rsid w:val="004464F4"/>
    <w:rsid w:val="00471401"/>
    <w:rsid w:val="00473F31"/>
    <w:rsid w:val="0048263A"/>
    <w:rsid w:val="0048729D"/>
    <w:rsid w:val="00487E5D"/>
    <w:rsid w:val="004A711F"/>
    <w:rsid w:val="004B199D"/>
    <w:rsid w:val="004B4690"/>
    <w:rsid w:val="004C223A"/>
    <w:rsid w:val="004D4574"/>
    <w:rsid w:val="004E0A2D"/>
    <w:rsid w:val="004E206B"/>
    <w:rsid w:val="004E6DF7"/>
    <w:rsid w:val="004F0FBD"/>
    <w:rsid w:val="00505A47"/>
    <w:rsid w:val="00512FDA"/>
    <w:rsid w:val="00520DA0"/>
    <w:rsid w:val="00521585"/>
    <w:rsid w:val="00544830"/>
    <w:rsid w:val="00546DE3"/>
    <w:rsid w:val="005664BB"/>
    <w:rsid w:val="0057481D"/>
    <w:rsid w:val="00581973"/>
    <w:rsid w:val="0058486E"/>
    <w:rsid w:val="005D1C8B"/>
    <w:rsid w:val="005D5CED"/>
    <w:rsid w:val="005F1435"/>
    <w:rsid w:val="005F1A4C"/>
    <w:rsid w:val="00605688"/>
    <w:rsid w:val="006070AF"/>
    <w:rsid w:val="00607E6C"/>
    <w:rsid w:val="006101B1"/>
    <w:rsid w:val="00614E44"/>
    <w:rsid w:val="0061710B"/>
    <w:rsid w:val="00622830"/>
    <w:rsid w:val="00630AEF"/>
    <w:rsid w:val="006325F8"/>
    <w:rsid w:val="00634C9A"/>
    <w:rsid w:val="006440E4"/>
    <w:rsid w:val="0066343B"/>
    <w:rsid w:val="00664777"/>
    <w:rsid w:val="006748A4"/>
    <w:rsid w:val="00674F58"/>
    <w:rsid w:val="00683E73"/>
    <w:rsid w:val="00687214"/>
    <w:rsid w:val="006A3141"/>
    <w:rsid w:val="006A5E34"/>
    <w:rsid w:val="006B2422"/>
    <w:rsid w:val="006B2B9A"/>
    <w:rsid w:val="006C1937"/>
    <w:rsid w:val="006F0129"/>
    <w:rsid w:val="006F020C"/>
    <w:rsid w:val="007127B7"/>
    <w:rsid w:val="007416B6"/>
    <w:rsid w:val="00746F48"/>
    <w:rsid w:val="0075404D"/>
    <w:rsid w:val="0076182A"/>
    <w:rsid w:val="00767B7E"/>
    <w:rsid w:val="007770C3"/>
    <w:rsid w:val="00784D24"/>
    <w:rsid w:val="00785FBA"/>
    <w:rsid w:val="00786E4A"/>
    <w:rsid w:val="007875EB"/>
    <w:rsid w:val="0079426B"/>
    <w:rsid w:val="007B7A67"/>
    <w:rsid w:val="007D312A"/>
    <w:rsid w:val="007D3F19"/>
    <w:rsid w:val="007D555D"/>
    <w:rsid w:val="007E23B0"/>
    <w:rsid w:val="007E5C99"/>
    <w:rsid w:val="007F1991"/>
    <w:rsid w:val="007F2C2F"/>
    <w:rsid w:val="007F55FC"/>
    <w:rsid w:val="007F5665"/>
    <w:rsid w:val="00800112"/>
    <w:rsid w:val="008253BB"/>
    <w:rsid w:val="0083706E"/>
    <w:rsid w:val="008423A5"/>
    <w:rsid w:val="00844C11"/>
    <w:rsid w:val="00850625"/>
    <w:rsid w:val="00853718"/>
    <w:rsid w:val="00855221"/>
    <w:rsid w:val="00860645"/>
    <w:rsid w:val="00871F71"/>
    <w:rsid w:val="00885AF4"/>
    <w:rsid w:val="008939CD"/>
    <w:rsid w:val="008B768C"/>
    <w:rsid w:val="008C4DB1"/>
    <w:rsid w:val="008C4EAF"/>
    <w:rsid w:val="008C5176"/>
    <w:rsid w:val="008C7FD0"/>
    <w:rsid w:val="008D6C33"/>
    <w:rsid w:val="008E1DE7"/>
    <w:rsid w:val="008E707C"/>
    <w:rsid w:val="00900B08"/>
    <w:rsid w:val="00902155"/>
    <w:rsid w:val="00902FA3"/>
    <w:rsid w:val="00910650"/>
    <w:rsid w:val="00923564"/>
    <w:rsid w:val="0092392E"/>
    <w:rsid w:val="00925C2C"/>
    <w:rsid w:val="009315F9"/>
    <w:rsid w:val="00946945"/>
    <w:rsid w:val="00951248"/>
    <w:rsid w:val="0095152F"/>
    <w:rsid w:val="00954C49"/>
    <w:rsid w:val="0097099F"/>
    <w:rsid w:val="00971997"/>
    <w:rsid w:val="00971FFC"/>
    <w:rsid w:val="0098660A"/>
    <w:rsid w:val="00987DAC"/>
    <w:rsid w:val="009931C3"/>
    <w:rsid w:val="009B2C43"/>
    <w:rsid w:val="009B4EAE"/>
    <w:rsid w:val="009B7573"/>
    <w:rsid w:val="009C22F4"/>
    <w:rsid w:val="009C2E98"/>
    <w:rsid w:val="009C3F76"/>
    <w:rsid w:val="009D3447"/>
    <w:rsid w:val="009D4711"/>
    <w:rsid w:val="009E0756"/>
    <w:rsid w:val="009F1185"/>
    <w:rsid w:val="009F18CD"/>
    <w:rsid w:val="009F2A13"/>
    <w:rsid w:val="009F4973"/>
    <w:rsid w:val="009F52FE"/>
    <w:rsid w:val="00A04EB0"/>
    <w:rsid w:val="00A13CC1"/>
    <w:rsid w:val="00A16847"/>
    <w:rsid w:val="00A237D8"/>
    <w:rsid w:val="00A268C4"/>
    <w:rsid w:val="00A307CD"/>
    <w:rsid w:val="00A40A00"/>
    <w:rsid w:val="00A4142F"/>
    <w:rsid w:val="00A56DF2"/>
    <w:rsid w:val="00A67AB5"/>
    <w:rsid w:val="00A84201"/>
    <w:rsid w:val="00A910D1"/>
    <w:rsid w:val="00A91760"/>
    <w:rsid w:val="00A93B00"/>
    <w:rsid w:val="00A93C21"/>
    <w:rsid w:val="00AC3C6A"/>
    <w:rsid w:val="00AD5620"/>
    <w:rsid w:val="00AD7C1B"/>
    <w:rsid w:val="00AE16BA"/>
    <w:rsid w:val="00AE1EBE"/>
    <w:rsid w:val="00AF23A4"/>
    <w:rsid w:val="00AF7B8B"/>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3DB6"/>
    <w:rsid w:val="00B841F1"/>
    <w:rsid w:val="00B944D6"/>
    <w:rsid w:val="00BA2093"/>
    <w:rsid w:val="00BB4DF0"/>
    <w:rsid w:val="00BC289F"/>
    <w:rsid w:val="00BC5361"/>
    <w:rsid w:val="00BC5460"/>
    <w:rsid w:val="00BC6B50"/>
    <w:rsid w:val="00BD0E25"/>
    <w:rsid w:val="00BF5BD6"/>
    <w:rsid w:val="00C0261F"/>
    <w:rsid w:val="00C03E31"/>
    <w:rsid w:val="00C10987"/>
    <w:rsid w:val="00C33E72"/>
    <w:rsid w:val="00C354B2"/>
    <w:rsid w:val="00C35554"/>
    <w:rsid w:val="00C42709"/>
    <w:rsid w:val="00C4457E"/>
    <w:rsid w:val="00C533CC"/>
    <w:rsid w:val="00C5751C"/>
    <w:rsid w:val="00C61BFC"/>
    <w:rsid w:val="00C62B85"/>
    <w:rsid w:val="00C65438"/>
    <w:rsid w:val="00C763BA"/>
    <w:rsid w:val="00C91CBB"/>
    <w:rsid w:val="00CC09B6"/>
    <w:rsid w:val="00CC666F"/>
    <w:rsid w:val="00CC7AFC"/>
    <w:rsid w:val="00CD1E3F"/>
    <w:rsid w:val="00CE44F6"/>
    <w:rsid w:val="00CE49DA"/>
    <w:rsid w:val="00CE7B61"/>
    <w:rsid w:val="00D00095"/>
    <w:rsid w:val="00D170F8"/>
    <w:rsid w:val="00D20620"/>
    <w:rsid w:val="00D26091"/>
    <w:rsid w:val="00D34E7C"/>
    <w:rsid w:val="00D35489"/>
    <w:rsid w:val="00D51276"/>
    <w:rsid w:val="00D7035F"/>
    <w:rsid w:val="00D87827"/>
    <w:rsid w:val="00DA4BC6"/>
    <w:rsid w:val="00DA5CF3"/>
    <w:rsid w:val="00DA65AC"/>
    <w:rsid w:val="00DB1913"/>
    <w:rsid w:val="00DC410D"/>
    <w:rsid w:val="00DC68CA"/>
    <w:rsid w:val="00DC7CBA"/>
    <w:rsid w:val="00DD73B7"/>
    <w:rsid w:val="00DF28BC"/>
    <w:rsid w:val="00DF34B9"/>
    <w:rsid w:val="00E01053"/>
    <w:rsid w:val="00E07ACF"/>
    <w:rsid w:val="00E331A1"/>
    <w:rsid w:val="00E33202"/>
    <w:rsid w:val="00E336A9"/>
    <w:rsid w:val="00E40B8C"/>
    <w:rsid w:val="00E50624"/>
    <w:rsid w:val="00E568DF"/>
    <w:rsid w:val="00E64269"/>
    <w:rsid w:val="00E77D34"/>
    <w:rsid w:val="00E82267"/>
    <w:rsid w:val="00E8777A"/>
    <w:rsid w:val="00EA010F"/>
    <w:rsid w:val="00ED1B63"/>
    <w:rsid w:val="00ED3C1F"/>
    <w:rsid w:val="00ED4085"/>
    <w:rsid w:val="00ED420E"/>
    <w:rsid w:val="00EE2C2C"/>
    <w:rsid w:val="00EE2F57"/>
    <w:rsid w:val="00EF3266"/>
    <w:rsid w:val="00EF4C34"/>
    <w:rsid w:val="00EF77C6"/>
    <w:rsid w:val="00F05438"/>
    <w:rsid w:val="00F1361C"/>
    <w:rsid w:val="00F160C7"/>
    <w:rsid w:val="00F277C9"/>
    <w:rsid w:val="00F32517"/>
    <w:rsid w:val="00F36D8F"/>
    <w:rsid w:val="00F40627"/>
    <w:rsid w:val="00F417B1"/>
    <w:rsid w:val="00F6011D"/>
    <w:rsid w:val="00F602DF"/>
    <w:rsid w:val="00F81FD9"/>
    <w:rsid w:val="00F841AA"/>
    <w:rsid w:val="00FA23E8"/>
    <w:rsid w:val="00FD3CC1"/>
    <w:rsid w:val="00FF1E02"/>
    <w:rsid w:val="00FF30B4"/>
    <w:rsid w:val="00FF6648"/>
    <w:rsid w:val="055D527F"/>
    <w:rsid w:val="10C055FF"/>
    <w:rsid w:val="1171177C"/>
    <w:rsid w:val="11BF1659"/>
    <w:rsid w:val="12787DBC"/>
    <w:rsid w:val="16BB723D"/>
    <w:rsid w:val="240371BF"/>
    <w:rsid w:val="29FD04D3"/>
    <w:rsid w:val="2BCC4D30"/>
    <w:rsid w:val="2C643982"/>
    <w:rsid w:val="319F7F4E"/>
    <w:rsid w:val="4134742D"/>
    <w:rsid w:val="48072F67"/>
    <w:rsid w:val="5C596E3C"/>
    <w:rsid w:val="61B60114"/>
    <w:rsid w:val="64E761FA"/>
    <w:rsid w:val="72D47871"/>
    <w:rsid w:val="7DC27277"/>
    <w:rsid w:val="7F1808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I:\2019\2018&#24180;&#20915;&#31639;&#20844;&#24320;\&#22823;&#30000;&#21307;&#38498;\&#20570;&#22270;&#34920;%20Microsoft%20Excel%2097-2003%20&#24037;&#20316;&#34920;%20(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2019\2018&#24180;&#20915;&#31639;&#20844;&#24320;\&#22823;&#30000;&#21307;&#38498;\&#20570;&#22270;&#34920;%20Microsoft%20Excel%2097-2003%20&#24037;&#20316;&#34920;%20(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2019\2018&#24180;&#20915;&#31639;&#20844;&#24320;\&#22823;&#30000;&#21307;&#38498;\&#20570;&#22270;&#34920;%20Microsoft%20Excel%2097-2003%20&#24037;&#20316;&#34920;%20(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2019\2018&#24180;&#20915;&#31639;&#20844;&#24320;\&#22823;&#30000;&#21307;&#38498;\&#20570;&#22270;&#34920;%20Microsoft%20Excel%2097-2003%20&#24037;&#20316;&#34920;%20(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2019\2018&#24180;&#20915;&#31639;&#20844;&#24320;\&#22823;&#30000;&#21307;&#38498;\&#20570;&#22270;&#34920;%20Microsoft%20Excel%2097-2003%20&#24037;&#20316;&#34920;%20(2).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I:\2019\2018&#24180;&#20915;&#31639;&#20844;&#24320;\&#22823;&#30000;&#21307;&#38498;\&#20570;&#22270;&#34920;%20Microsoft%20Excel%2097-2003%20&#24037;&#20316;&#34920;%20(2).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I:\2019\2018&#24180;&#20915;&#31639;&#20844;&#24320;\&#22823;&#30000;&#21307;&#38498;\&#20570;&#22270;&#34920;%20Microsoft%20Excel%2097-2003%20&#24037;&#20316;&#34920;%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595959">
                    <a:alpha val="100000"/>
                  </a:srgbClr>
                </a:solidFill>
                <a:latin typeface="宋体" panose="02010600030101010101" charset="-122"/>
                <a:ea typeface="宋体" panose="02010600030101010101" charset="-122"/>
                <a:cs typeface="宋体" panose="02010600030101010101" charset="-122"/>
              </a:defRPr>
            </a:pPr>
            <a:r>
              <a:t>201</a:t>
            </a:r>
            <a:r>
              <a:rPr lang="en-US" altLang="zh-CN"/>
              <a:t>8</a:t>
            </a:r>
            <a:r>
              <a:t>年大田医院收入决算构成图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 val="0.003"/>
          <c:y val="0.0105"/>
        </c:manualLayout>
      </c:layout>
      <c:overlay val="0"/>
    </c:title>
    <c:autoTitleDeleted val="0"/>
    <c:plotArea>
      <c:layout>
        <c:manualLayout>
          <c:layoutTarget val="inner"/>
          <c:xMode val="edge"/>
          <c:yMode val="edge"/>
          <c:x val="0.277"/>
          <c:y val="0.3145"/>
          <c:w val="0.3485"/>
          <c:h val="0.4645"/>
        </c:manualLayout>
      </c:layout>
      <c:pieChart>
        <c:varyColors val="1"/>
        <c:ser>
          <c:idx val="0"/>
          <c:order val="0"/>
          <c:spPr>
            <a:solidFill>
              <a:srgbClr val="5B9BD5">
                <a:alpha val="100000"/>
              </a:srgbClr>
            </a:solidFill>
            <a:ln w="3175">
              <a:noFill/>
            </a:ln>
          </c:spPr>
          <c:explosion val="0"/>
          <c:dPt>
            <c:idx val="0"/>
            <c:bubble3D val="0"/>
            <c:explosion val="0"/>
            <c:spPr>
              <a:solidFill>
                <a:srgbClr val="5B9BD5">
                  <a:alpha val="100000"/>
                </a:srgbClr>
              </a:solidFill>
              <a:ln w="12700">
                <a:solidFill>
                  <a:srgbClr val="FFFFFF">
                    <a:alpha val="100000"/>
                  </a:srgbClr>
                </a:solidFill>
                <a:prstDash val="solid"/>
              </a:ln>
            </c:spPr>
          </c:dPt>
          <c:dPt>
            <c:idx val="1"/>
            <c:bubble3D val="0"/>
            <c:explosion val="0"/>
            <c:spPr>
              <a:solidFill>
                <a:srgbClr val="ED7D31">
                  <a:alpha val="100000"/>
                </a:srgbClr>
              </a:solidFill>
              <a:ln w="12700">
                <a:solidFill>
                  <a:srgbClr val="FFFFFF">
                    <a:alpha val="100000"/>
                  </a:srgbClr>
                </a:solidFill>
                <a:prstDash val="solid"/>
              </a:ln>
            </c:spPr>
          </c:dPt>
          <c:dPt>
            <c:idx val="2"/>
            <c:bubble3D val="0"/>
            <c:explosion val="0"/>
            <c:spPr>
              <a:solidFill>
                <a:srgbClr val="A5A5A5">
                  <a:alpha val="100000"/>
                </a:srgbClr>
              </a:solidFill>
              <a:ln w="12700">
                <a:solidFill>
                  <a:srgbClr val="FFFFFF">
                    <a:alpha val="100000"/>
                  </a:srgbClr>
                </a:solidFill>
                <a:prstDash val="solid"/>
              </a:ln>
            </c:spPr>
          </c:dPt>
          <c:dPt>
            <c:idx val="3"/>
            <c:bubble3D val="0"/>
            <c:explosion val="0"/>
            <c:spPr>
              <a:solidFill>
                <a:srgbClr val="FFC000">
                  <a:alpha val="100000"/>
                </a:srgbClr>
              </a:solidFill>
              <a:ln w="12700">
                <a:solidFill>
                  <a:srgbClr val="FFFFFF">
                    <a:alpha val="100000"/>
                  </a:srgbClr>
                </a:solidFill>
                <a:prstDash val="solid"/>
              </a:ln>
            </c:spPr>
          </c:dPt>
          <c:dPt>
            <c:idx val="4"/>
            <c:bubble3D val="0"/>
            <c:explosion val="0"/>
            <c:spPr>
              <a:solidFill>
                <a:srgbClr val="4472C4">
                  <a:alpha val="100000"/>
                </a:srgbClr>
              </a:solidFill>
              <a:ln w="12700">
                <a:solidFill>
                  <a:srgbClr val="FFFFFF">
                    <a:alpha val="100000"/>
                  </a:srgbClr>
                </a:solidFill>
                <a:prstDash val="solid"/>
              </a:ln>
            </c:spPr>
          </c:dPt>
          <c:dPt>
            <c:idx val="5"/>
            <c:bubble3D val="0"/>
            <c:explosion val="0"/>
            <c:spPr>
              <a:solidFill>
                <a:srgbClr val="70AD47">
                  <a:alpha val="100000"/>
                </a:srgbClr>
              </a:solidFill>
              <a:ln w="12700">
                <a:solidFill>
                  <a:srgbClr val="FFFFFF">
                    <a:alpha val="100000"/>
                  </a:srgbClr>
                </a:solidFill>
                <a:prstDash val="solid"/>
              </a:ln>
            </c:spPr>
          </c:dPt>
          <c:dPt>
            <c:idx val="6"/>
            <c:bubble3D val="0"/>
            <c:explosion val="0"/>
            <c:spPr>
              <a:solidFill>
                <a:srgbClr val="255E91">
                  <a:alpha val="100000"/>
                </a:srgbClr>
              </a:solidFill>
              <a:ln w="12700">
                <a:solidFill>
                  <a:srgbClr val="FFFFFF">
                    <a:alpha val="100000"/>
                  </a:srgbClr>
                </a:solidFill>
                <a:prstDash val="solid"/>
              </a:ln>
            </c:spPr>
          </c:dPt>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3"/>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4"/>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5"/>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6"/>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'[做图表 Microsoft Excel 97-2003 工作表 (2).xls]Sheet1'!$A$4:$A$10</c:f>
              <c:strCache>
                <c:ptCount val="7"/>
                <c:pt idx="1">
                  <c:v>单位：万元</c:v>
                </c:pt>
                <c:pt idx="2">
                  <c:v>财政拨款</c:v>
                </c:pt>
                <c:pt idx="3">
                  <c:v>事业收入</c:v>
                </c:pt>
                <c:pt idx="4">
                  <c:v>其他收入</c:v>
                </c:pt>
                <c:pt idx="5">
                  <c:v> </c:v>
                </c:pt>
              </c:strCache>
            </c:strRef>
          </c:cat>
          <c:val>
            <c:numRef>
              <c:f>'[做图表 Microsoft Excel 97-2003 工作表 (2).xls]Sheet1'!$B$4:$B$10</c:f>
              <c:numCache>
                <c:formatCode>General</c:formatCode>
                <c:ptCount val="7"/>
                <c:pt idx="2">
                  <c:v>340.87</c:v>
                </c:pt>
                <c:pt idx="3">
                  <c:v>142.39</c:v>
                </c:pt>
                <c:pt idx="4">
                  <c:v>41.4</c:v>
                </c:pt>
                <c:pt idx="5">
                  <c:v>0</c:v>
                </c:pt>
              </c:numCache>
            </c:numRef>
          </c:val>
        </c:ser>
        <c:ser>
          <c:idx val="1"/>
          <c:order val="1"/>
          <c:spPr>
            <a:solidFill>
              <a:srgbClr val="ED7D31">
                <a:alpha val="100000"/>
              </a:srgbClr>
            </a:solidFill>
            <a:ln w="3175">
              <a:noFill/>
            </a:ln>
          </c:spPr>
          <c:explosion val="0"/>
          <c:dPt>
            <c:idx val="0"/>
            <c:bubble3D val="0"/>
            <c:explosion val="0"/>
            <c:spPr>
              <a:solidFill>
                <a:srgbClr val="5B9BD5">
                  <a:alpha val="100000"/>
                </a:srgbClr>
              </a:solidFill>
              <a:ln w="12700">
                <a:solidFill>
                  <a:srgbClr val="FFFFFF">
                    <a:alpha val="100000"/>
                  </a:srgbClr>
                </a:solidFill>
                <a:prstDash val="solid"/>
              </a:ln>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'[做图表 Microsoft Excel 97-2003 工作表 (2).xls]Sheet1'!$A$4:$A$10</c:f>
              <c:strCache>
                <c:ptCount val="7"/>
                <c:pt idx="1">
                  <c:v>单位：万元</c:v>
                </c:pt>
                <c:pt idx="2">
                  <c:v>财政拨款</c:v>
                </c:pt>
                <c:pt idx="3">
                  <c:v>事业收入</c:v>
                </c:pt>
                <c:pt idx="4">
                  <c:v>其他收入</c:v>
                </c:pt>
                <c:pt idx="5">
                  <c:v> </c:v>
                </c:pt>
              </c:strCache>
            </c:strRef>
          </c:cat>
          <c:val>
            <c:numRef>
              <c:f>'[做图表 Microsoft Excel 97-2003 工作表 (2).xls]Sheet1'!#REF!</c:f>
              <c:numCache>
                <c:formatCode>General</c:formatCode>
                <c:ptCount val="1"/>
              </c:numCache>
            </c:numRef>
          </c:val>
        </c:ser>
        <c:ser>
          <c:idx val="2"/>
          <c:order val="2"/>
          <c:spPr>
            <a:solidFill>
              <a:srgbClr val="A5A5A5">
                <a:alpha val="100000"/>
              </a:srgbClr>
            </a:solidFill>
            <a:ln w="3175">
              <a:noFill/>
            </a:ln>
          </c:spPr>
          <c:explosion val="0"/>
          <c:dPt>
            <c:idx val="0"/>
            <c:bubble3D val="0"/>
            <c:explosion val="0"/>
            <c:spPr>
              <a:solidFill>
                <a:srgbClr val="5B9BD5">
                  <a:alpha val="100000"/>
                </a:srgbClr>
              </a:solidFill>
              <a:ln w="12700">
                <a:solidFill>
                  <a:srgbClr val="FFFFFF">
                    <a:alpha val="100000"/>
                  </a:srgbClr>
                </a:solidFill>
                <a:prstDash val="solid"/>
              </a:ln>
            </c:spPr>
          </c:dPt>
          <c:dPt>
            <c:idx val="1"/>
            <c:bubble3D val="0"/>
            <c:explosion val="0"/>
            <c:spPr>
              <a:solidFill>
                <a:srgbClr val="ED7D31">
                  <a:alpha val="100000"/>
                </a:srgbClr>
              </a:solidFill>
              <a:ln w="12700">
                <a:solidFill>
                  <a:srgbClr val="FFFFFF">
                    <a:alpha val="100000"/>
                  </a:srgbClr>
                </a:solidFill>
                <a:prstDash val="solid"/>
              </a:ln>
            </c:spPr>
          </c:dPt>
          <c:dPt>
            <c:idx val="2"/>
            <c:bubble3D val="0"/>
            <c:explosion val="0"/>
            <c:spPr>
              <a:solidFill>
                <a:srgbClr val="A5A5A5">
                  <a:alpha val="100000"/>
                </a:srgbClr>
              </a:solidFill>
              <a:ln w="12700">
                <a:solidFill>
                  <a:srgbClr val="FFFFFF">
                    <a:alpha val="100000"/>
                  </a:srgbClr>
                </a:solidFill>
                <a:prstDash val="solid"/>
              </a:ln>
            </c:spPr>
          </c:dPt>
          <c:dPt>
            <c:idx val="3"/>
            <c:bubble3D val="0"/>
            <c:explosion val="0"/>
            <c:spPr>
              <a:solidFill>
                <a:srgbClr val="FFC000">
                  <a:alpha val="100000"/>
                </a:srgbClr>
              </a:solidFill>
              <a:ln w="12700">
                <a:solidFill>
                  <a:srgbClr val="FFFFFF">
                    <a:alpha val="100000"/>
                  </a:srgbClr>
                </a:solidFill>
                <a:prstDash val="solid"/>
              </a:ln>
            </c:spPr>
          </c:dPt>
          <c:dPt>
            <c:idx val="4"/>
            <c:bubble3D val="0"/>
            <c:explosion val="0"/>
            <c:spPr>
              <a:solidFill>
                <a:srgbClr val="4472C4">
                  <a:alpha val="100000"/>
                </a:srgbClr>
              </a:solidFill>
              <a:ln w="12700">
                <a:solidFill>
                  <a:srgbClr val="FFFFFF">
                    <a:alpha val="100000"/>
                  </a:srgbClr>
                </a:solidFill>
                <a:prstDash val="solid"/>
              </a:ln>
            </c:spPr>
          </c:dPt>
          <c:dPt>
            <c:idx val="5"/>
            <c:bubble3D val="0"/>
            <c:explosion val="0"/>
            <c:spPr>
              <a:solidFill>
                <a:srgbClr val="70AD47">
                  <a:alpha val="100000"/>
                </a:srgbClr>
              </a:solidFill>
              <a:ln w="12700">
                <a:solidFill>
                  <a:srgbClr val="FFFFFF">
                    <a:alpha val="100000"/>
                  </a:srgbClr>
                </a:solidFill>
                <a:prstDash val="solid"/>
              </a:ln>
            </c:spPr>
          </c:dPt>
          <c:dPt>
            <c:idx val="6"/>
            <c:bubble3D val="0"/>
            <c:explosion val="0"/>
            <c:spPr>
              <a:solidFill>
                <a:srgbClr val="255E91">
                  <a:alpha val="100000"/>
                </a:srgbClr>
              </a:solidFill>
              <a:ln w="12700">
                <a:solidFill>
                  <a:srgbClr val="FFFFFF">
                    <a:alpha val="100000"/>
                  </a:srgbClr>
                </a:solidFill>
                <a:prstDash val="solid"/>
              </a:ln>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'[做图表 Microsoft Excel 97-2003 工作表 (2).xls]Sheet1'!$A$4:$A$10</c:f>
              <c:strCache>
                <c:ptCount val="7"/>
                <c:pt idx="1">
                  <c:v>单位：万元</c:v>
                </c:pt>
                <c:pt idx="2">
                  <c:v>财政拨款</c:v>
                </c:pt>
                <c:pt idx="3">
                  <c:v>事业收入</c:v>
                </c:pt>
                <c:pt idx="4">
                  <c:v>其他收入</c:v>
                </c:pt>
                <c:pt idx="5">
                  <c:v> </c:v>
                </c:pt>
              </c:strCache>
            </c:strRef>
          </c:cat>
          <c:val>
            <c:numRef>
              <c:f>'[做图表 Microsoft Excel 97-2003 工作表 (2).xls]Sheet1'!$C$4:$C$10</c:f>
              <c:numCache>
                <c:formatCode>General</c:formatCode>
                <c:ptCount val="7"/>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overlay val="0"/>
      <c:spPr>
        <a:noFill/>
        <a:ln w="3175">
          <a:noFill/>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C0C0C0">
          <a:alpha val="100000"/>
        </a:srgbClr>
      </a:solid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大田医院收入决算图</a:t>
            </a:r>
            <a:endParaRPr sz="1400" b="1"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manualLayout>
          <c:layoutTarget val="inner"/>
          <c:xMode val="edge"/>
          <c:yMode val="edge"/>
          <c:x val="0.21475"/>
          <c:y val="0.20175"/>
          <c:w val="0.5685"/>
          <c:h val="0.76075"/>
        </c:manualLayout>
      </c:layout>
      <c:pieChart>
        <c:varyColors val="1"/>
        <c:ser>
          <c:idx val="0"/>
          <c:order val="0"/>
          <c:spPr>
            <a:solidFill>
              <a:srgbClr val="5B9BD5">
                <a:alpha val="100000"/>
              </a:srgbClr>
            </a:solidFill>
            <a:ln w="3175">
              <a:noFill/>
            </a:ln>
          </c:spPr>
          <c:explosion val="0"/>
          <c:dPt>
            <c:idx val="0"/>
            <c:bubble3D val="0"/>
            <c:explosion val="0"/>
            <c:spPr>
              <a:solidFill>
                <a:srgbClr val="5B9BD5">
                  <a:alpha val="100000"/>
                </a:srgbClr>
              </a:solidFill>
              <a:ln w="12700">
                <a:solidFill>
                  <a:srgbClr val="FFFFFF">
                    <a:alpha val="100000"/>
                  </a:srgbClr>
                </a:solidFill>
                <a:prstDash val="solid"/>
              </a:ln>
            </c:spPr>
          </c:dPt>
          <c:dPt>
            <c:idx val="1"/>
            <c:bubble3D val="0"/>
            <c:explosion val="0"/>
            <c:spPr>
              <a:solidFill>
                <a:srgbClr val="ED7D31">
                  <a:alpha val="100000"/>
                </a:srgbClr>
              </a:solidFill>
              <a:ln w="12700">
                <a:solidFill>
                  <a:srgbClr val="FFFFFF">
                    <a:alpha val="100000"/>
                  </a:srgbClr>
                </a:solidFill>
                <a:prstDash val="solid"/>
              </a:ln>
            </c:spPr>
          </c:dPt>
          <c:dPt>
            <c:idx val="2"/>
            <c:bubble3D val="0"/>
            <c:explosion val="0"/>
            <c:spPr>
              <a:solidFill>
                <a:srgbClr val="A5A5A5">
                  <a:alpha val="100000"/>
                </a:srgbClr>
              </a:solidFill>
              <a:ln w="12700">
                <a:solidFill>
                  <a:srgbClr val="FFFFFF">
                    <a:alpha val="100000"/>
                  </a:srgbClr>
                </a:solidFill>
                <a:prstDash val="solid"/>
              </a:ln>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31%</a:t>
                    </a:r>
                    <a:endParaRPr sz="9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8%</a:t>
                    </a:r>
                    <a:endParaRPr sz="9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57%</a:t>
                    </a:r>
                    <a:endParaRPr sz="9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'[做图表 Microsoft Excel 97-2003 工作表 (2).xls]Sheet1'!$A$70:$A$72</c:f>
              <c:strCache>
                <c:ptCount val="3"/>
                <c:pt idx="0">
                  <c:v>财政拨款收入</c:v>
                </c:pt>
                <c:pt idx="1">
                  <c:v>事业收入</c:v>
                </c:pt>
                <c:pt idx="2">
                  <c:v>其他收入</c:v>
                </c:pt>
              </c:strCache>
            </c:strRef>
          </c:cat>
          <c:val>
            <c:numRef>
              <c:f>'[做图表 Microsoft Excel 97-2003 工作表 (2).xls]Sheet1'!$B$70:$B$72</c:f>
              <c:numCache>
                <c:formatCode>General</c:formatCode>
                <c:ptCount val="3"/>
                <c:pt idx="0">
                  <c:v>340.87</c:v>
                </c:pt>
                <c:pt idx="1">
                  <c:v>142.39</c:v>
                </c:pt>
                <c:pt idx="2">
                  <c:v>41.4</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05"/>
          <c:y val="0.29125"/>
          <c:w val="0.862"/>
          <c:h val="0.0465"/>
        </c:manualLayout>
      </c:layout>
      <c:overlay val="0"/>
      <c:spPr>
        <a:noFill/>
        <a:ln w="3175">
          <a:noFill/>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C0C0C0">
          <a:alpha val="100000"/>
        </a:srgbClr>
      </a:solid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595959">
                    <a:alpha val="100000"/>
                  </a:srgbClr>
                </a:solidFill>
                <a:latin typeface="宋体" panose="02010600030101010101" charset="-122"/>
                <a:ea typeface="宋体" panose="02010600030101010101" charset="-122"/>
                <a:cs typeface="宋体" panose="02010600030101010101" charset="-122"/>
              </a:defRPr>
            </a:pPr>
            <a:r>
              <a:t>201</a:t>
            </a:r>
            <a:r>
              <a:rPr lang="en-US" altLang="zh-CN"/>
              <a:t>8</a:t>
            </a:r>
            <a:r>
              <a:t>年大田医院支出构成图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 val="0.003"/>
          <c:y val="0.0105"/>
        </c:manualLayout>
      </c:layout>
      <c:overlay val="0"/>
    </c:title>
    <c:autoTitleDeleted val="0"/>
    <c:plotArea>
      <c:layout>
        <c:manualLayout>
          <c:layoutTarget val="inner"/>
          <c:xMode val="edge"/>
          <c:yMode val="edge"/>
          <c:x val="0.277"/>
          <c:y val="0.3145"/>
          <c:w val="0.3485"/>
          <c:h val="0.4645"/>
        </c:manualLayout>
      </c:layout>
      <c:pieChart>
        <c:varyColors val="1"/>
        <c:ser>
          <c:idx val="0"/>
          <c:order val="0"/>
          <c:spPr>
            <a:solidFill>
              <a:srgbClr val="5B9BD5">
                <a:alpha val="100000"/>
              </a:srgbClr>
            </a:solidFill>
            <a:ln w="3175">
              <a:noFill/>
            </a:ln>
          </c:spPr>
          <c:explosion val="0"/>
          <c:dPt>
            <c:idx val="0"/>
            <c:bubble3D val="0"/>
            <c:explosion val="0"/>
            <c:spPr>
              <a:solidFill>
                <a:srgbClr val="5B9BD5">
                  <a:alpha val="100000"/>
                </a:srgbClr>
              </a:solidFill>
              <a:ln w="12700">
                <a:solidFill>
                  <a:srgbClr val="FFFFFF">
                    <a:alpha val="100000"/>
                  </a:srgbClr>
                </a:solidFill>
                <a:prstDash val="solid"/>
              </a:ln>
            </c:spPr>
          </c:dPt>
          <c:dPt>
            <c:idx val="1"/>
            <c:bubble3D val="0"/>
            <c:explosion val="0"/>
            <c:spPr>
              <a:solidFill>
                <a:srgbClr val="ED7D31">
                  <a:alpha val="100000"/>
                </a:srgbClr>
              </a:solidFill>
              <a:ln w="12700">
                <a:solidFill>
                  <a:srgbClr val="FFFFFF">
                    <a:alpha val="100000"/>
                  </a:srgbClr>
                </a:solidFill>
                <a:prstDash val="solid"/>
              </a:ln>
            </c:spPr>
          </c:dPt>
          <c:dPt>
            <c:idx val="2"/>
            <c:bubble3D val="0"/>
            <c:explosion val="0"/>
            <c:spPr>
              <a:solidFill>
                <a:srgbClr val="A5A5A5">
                  <a:alpha val="100000"/>
                </a:srgbClr>
              </a:solidFill>
              <a:ln w="12700">
                <a:solidFill>
                  <a:srgbClr val="FFFFFF">
                    <a:alpha val="100000"/>
                  </a:srgbClr>
                </a:solidFill>
                <a:prstDash val="solid"/>
              </a:ln>
            </c:spPr>
          </c:dPt>
          <c:dPt>
            <c:idx val="3"/>
            <c:bubble3D val="0"/>
            <c:explosion val="0"/>
            <c:spPr>
              <a:solidFill>
                <a:srgbClr val="FFC000">
                  <a:alpha val="100000"/>
                </a:srgbClr>
              </a:solidFill>
              <a:ln w="12700">
                <a:solidFill>
                  <a:srgbClr val="FFFFFF">
                    <a:alpha val="100000"/>
                  </a:srgbClr>
                </a:solidFill>
                <a:prstDash val="solid"/>
              </a:ln>
            </c:spPr>
          </c:dPt>
          <c:dPt>
            <c:idx val="4"/>
            <c:bubble3D val="0"/>
            <c:explosion val="0"/>
            <c:spPr>
              <a:solidFill>
                <a:srgbClr val="4472C4">
                  <a:alpha val="100000"/>
                </a:srgbClr>
              </a:solidFill>
              <a:ln w="12700">
                <a:solidFill>
                  <a:srgbClr val="FFFFFF">
                    <a:alpha val="100000"/>
                  </a:srgbClr>
                </a:solidFill>
                <a:prstDash val="solid"/>
              </a:ln>
            </c:spPr>
          </c:dPt>
          <c:dPt>
            <c:idx val="5"/>
            <c:bubble3D val="0"/>
            <c:explosion val="0"/>
            <c:spPr>
              <a:solidFill>
                <a:srgbClr val="70AD47">
                  <a:alpha val="100000"/>
                </a:srgbClr>
              </a:solidFill>
              <a:ln w="12700">
                <a:solidFill>
                  <a:srgbClr val="FFFFFF">
                    <a:alpha val="100000"/>
                  </a:srgbClr>
                </a:solidFill>
                <a:prstDash val="solid"/>
              </a:ln>
            </c:spPr>
          </c:dPt>
          <c:dPt>
            <c:idx val="6"/>
            <c:bubble3D val="0"/>
            <c:explosion val="0"/>
            <c:spPr>
              <a:solidFill>
                <a:srgbClr val="255E91">
                  <a:alpha val="100000"/>
                </a:srgbClr>
              </a:solidFill>
              <a:ln w="12700">
                <a:solidFill>
                  <a:srgbClr val="FFFFFF">
                    <a:alpha val="100000"/>
                  </a:srgbClr>
                </a:solidFill>
                <a:prstDash val="solid"/>
              </a:ln>
            </c:spPr>
          </c:dPt>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3"/>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4"/>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5"/>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6"/>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'[做图表 Microsoft Excel 97-2003 工作表 (2).xls]Sheet1'!$A$4:$A$10</c:f>
              <c:strCache>
                <c:ptCount val="7"/>
                <c:pt idx="1">
                  <c:v>单位：万元</c:v>
                </c:pt>
                <c:pt idx="2">
                  <c:v>基本支出</c:v>
                </c:pt>
                <c:pt idx="3">
                  <c:v>项目支出</c:v>
                </c:pt>
                <c:pt idx="5">
                  <c:v> </c:v>
                </c:pt>
              </c:strCache>
            </c:strRef>
          </c:cat>
          <c:val>
            <c:numRef>
              <c:f>'[做图表 Microsoft Excel 97-2003 工作表 (2).xls]Sheet1'!$B$4:$B$10</c:f>
              <c:numCache>
                <c:formatCode>General</c:formatCode>
                <c:ptCount val="7"/>
                <c:pt idx="2">
                  <c:v>404.77</c:v>
                </c:pt>
                <c:pt idx="3">
                  <c:v>94.55</c:v>
                </c:pt>
                <c:pt idx="5">
                  <c:v>0</c:v>
                </c:pt>
              </c:numCache>
            </c:numRef>
          </c:val>
        </c:ser>
        <c:ser>
          <c:idx val="1"/>
          <c:order val="1"/>
          <c:spPr>
            <a:solidFill>
              <a:srgbClr val="ED7D31">
                <a:alpha val="100000"/>
              </a:srgbClr>
            </a:solidFill>
            <a:ln w="3175">
              <a:noFill/>
            </a:ln>
          </c:spPr>
          <c:explosion val="0"/>
          <c:dPt>
            <c:idx val="0"/>
            <c:bubble3D val="0"/>
            <c:explosion val="0"/>
            <c:spPr>
              <a:solidFill>
                <a:srgbClr val="5B9BD5">
                  <a:alpha val="100000"/>
                </a:srgbClr>
              </a:solidFill>
              <a:ln w="12700">
                <a:solidFill>
                  <a:srgbClr val="FFFFFF">
                    <a:alpha val="100000"/>
                  </a:srgbClr>
                </a:solidFill>
                <a:prstDash val="solid"/>
              </a:ln>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'[做图表 Microsoft Excel 97-2003 工作表 (2).xls]Sheet1'!$A$4:$A$10</c:f>
              <c:strCache>
                <c:ptCount val="7"/>
                <c:pt idx="1">
                  <c:v>单位：万元</c:v>
                </c:pt>
                <c:pt idx="2">
                  <c:v>基本支出</c:v>
                </c:pt>
                <c:pt idx="3">
                  <c:v>项目支出</c:v>
                </c:pt>
                <c:pt idx="5">
                  <c:v> </c:v>
                </c:pt>
              </c:strCache>
            </c:strRef>
          </c:cat>
          <c:val>
            <c:numRef>
              <c:f>'[做图表 Microsoft Excel 97-2003 工作表 (2).xls]Sheet1'!#REF!</c:f>
              <c:numCache>
                <c:formatCode>General</c:formatCode>
                <c:ptCount val="1"/>
              </c:numCache>
            </c:numRef>
          </c:val>
        </c:ser>
        <c:ser>
          <c:idx val="2"/>
          <c:order val="2"/>
          <c:spPr>
            <a:solidFill>
              <a:srgbClr val="A5A5A5">
                <a:alpha val="100000"/>
              </a:srgbClr>
            </a:solidFill>
            <a:ln w="3175">
              <a:noFill/>
            </a:ln>
          </c:spPr>
          <c:explosion val="0"/>
          <c:dPt>
            <c:idx val="0"/>
            <c:bubble3D val="0"/>
            <c:explosion val="0"/>
            <c:spPr>
              <a:solidFill>
                <a:srgbClr val="5B9BD5">
                  <a:alpha val="100000"/>
                </a:srgbClr>
              </a:solidFill>
              <a:ln w="12700">
                <a:solidFill>
                  <a:srgbClr val="FFFFFF">
                    <a:alpha val="100000"/>
                  </a:srgbClr>
                </a:solidFill>
                <a:prstDash val="solid"/>
              </a:ln>
            </c:spPr>
          </c:dPt>
          <c:dPt>
            <c:idx val="1"/>
            <c:bubble3D val="0"/>
            <c:explosion val="0"/>
            <c:spPr>
              <a:solidFill>
                <a:srgbClr val="ED7D31">
                  <a:alpha val="100000"/>
                </a:srgbClr>
              </a:solidFill>
              <a:ln w="12700">
                <a:solidFill>
                  <a:srgbClr val="FFFFFF">
                    <a:alpha val="100000"/>
                  </a:srgbClr>
                </a:solidFill>
                <a:prstDash val="solid"/>
              </a:ln>
            </c:spPr>
          </c:dPt>
          <c:dPt>
            <c:idx val="2"/>
            <c:bubble3D val="0"/>
            <c:explosion val="0"/>
            <c:spPr>
              <a:solidFill>
                <a:srgbClr val="A5A5A5">
                  <a:alpha val="100000"/>
                </a:srgbClr>
              </a:solidFill>
              <a:ln w="12700">
                <a:solidFill>
                  <a:srgbClr val="FFFFFF">
                    <a:alpha val="100000"/>
                  </a:srgbClr>
                </a:solidFill>
                <a:prstDash val="solid"/>
              </a:ln>
            </c:spPr>
          </c:dPt>
          <c:dPt>
            <c:idx val="3"/>
            <c:bubble3D val="0"/>
            <c:explosion val="0"/>
            <c:spPr>
              <a:solidFill>
                <a:srgbClr val="FFC000">
                  <a:alpha val="100000"/>
                </a:srgbClr>
              </a:solidFill>
              <a:ln w="12700">
                <a:solidFill>
                  <a:srgbClr val="FFFFFF">
                    <a:alpha val="100000"/>
                  </a:srgbClr>
                </a:solidFill>
                <a:prstDash val="solid"/>
              </a:ln>
            </c:spPr>
          </c:dPt>
          <c:dPt>
            <c:idx val="4"/>
            <c:bubble3D val="0"/>
            <c:explosion val="0"/>
            <c:spPr>
              <a:solidFill>
                <a:srgbClr val="4472C4">
                  <a:alpha val="100000"/>
                </a:srgbClr>
              </a:solidFill>
              <a:ln w="12700">
                <a:solidFill>
                  <a:srgbClr val="FFFFFF">
                    <a:alpha val="100000"/>
                  </a:srgbClr>
                </a:solidFill>
                <a:prstDash val="solid"/>
              </a:ln>
            </c:spPr>
          </c:dPt>
          <c:dPt>
            <c:idx val="5"/>
            <c:bubble3D val="0"/>
            <c:explosion val="0"/>
            <c:spPr>
              <a:solidFill>
                <a:srgbClr val="70AD47">
                  <a:alpha val="100000"/>
                </a:srgbClr>
              </a:solidFill>
              <a:ln w="12700">
                <a:solidFill>
                  <a:srgbClr val="FFFFFF">
                    <a:alpha val="100000"/>
                  </a:srgbClr>
                </a:solidFill>
                <a:prstDash val="solid"/>
              </a:ln>
            </c:spPr>
          </c:dPt>
          <c:dPt>
            <c:idx val="6"/>
            <c:bubble3D val="0"/>
            <c:explosion val="0"/>
            <c:spPr>
              <a:solidFill>
                <a:srgbClr val="255E91">
                  <a:alpha val="100000"/>
                </a:srgbClr>
              </a:solidFill>
              <a:ln w="12700">
                <a:solidFill>
                  <a:srgbClr val="FFFFFF">
                    <a:alpha val="100000"/>
                  </a:srgbClr>
                </a:solidFill>
                <a:prstDash val="solid"/>
              </a:ln>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'[做图表 Microsoft Excel 97-2003 工作表 (2).xls]Sheet1'!$A$4:$A$10</c:f>
              <c:strCache>
                <c:ptCount val="7"/>
                <c:pt idx="1">
                  <c:v>单位：万元</c:v>
                </c:pt>
                <c:pt idx="2">
                  <c:v>基本支出</c:v>
                </c:pt>
                <c:pt idx="3">
                  <c:v>项目支出</c:v>
                </c:pt>
                <c:pt idx="5">
                  <c:v> </c:v>
                </c:pt>
              </c:strCache>
            </c:strRef>
          </c:cat>
          <c:val>
            <c:numRef>
              <c:f>'[做图表 Microsoft Excel 97-2003 工作表 (2).xls]Sheet1'!$C$4:$C$10</c:f>
              <c:numCache>
                <c:formatCode>General</c:formatCode>
                <c:ptCount val="7"/>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overlay val="0"/>
      <c:spPr>
        <a:noFill/>
        <a:ln w="3175">
          <a:noFill/>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C0C0C0">
          <a:alpha val="100000"/>
        </a:srgbClr>
      </a:solid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大田医院收支决算趋势图</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manualLayout>
          <c:x val="0.027"/>
          <c:y val="0.013"/>
        </c:manualLayout>
      </c:layout>
      <c:overlay val="0"/>
      <c:spPr>
        <a:noFill/>
        <a:ln w="3175">
          <a:noFill/>
        </a:ln>
      </c:spPr>
    </c:title>
    <c:autoTitleDeleted val="0"/>
    <c:plotArea>
      <c:layout>
        <c:manualLayout>
          <c:layoutTarget val="inner"/>
          <c:xMode val="edge"/>
          <c:yMode val="edge"/>
          <c:x val="0.1285"/>
          <c:y val="0.1975"/>
          <c:w val="0.8405"/>
          <c:h val="0.443"/>
        </c:manualLayout>
      </c:layout>
      <c:barChart>
        <c:barDir val="col"/>
        <c:grouping val="clustered"/>
        <c:varyColors val="0"/>
        <c:ser>
          <c:idx val="0"/>
          <c:order val="0"/>
          <c:tx>
            <c:strRef>
              <c:f>'[做图表 Microsoft Excel 97-2003 工作表 (2).xls]Sheet1'!$A$29</c:f>
              <c:strCache>
                <c:ptCount val="1"/>
                <c:pt idx="0">
                  <c:v>收入总决算</c:v>
                </c:pt>
              </c:strCache>
            </c:strRef>
          </c:tx>
          <c:spPr>
            <a:solidFill>
              <a:srgbClr val="5B9BD5">
                <a:alpha val="100000"/>
              </a:srgbClr>
            </a:solidFill>
            <a:ln w="3175">
              <a:noFill/>
            </a:ln>
          </c:spPr>
          <c:invertIfNegative val="0"/>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spPr>
              <a:ln w="19050" cap="rnd" cmpd="sng" algn="ctr">
                <a:solidFill>
                  <a:srgbClr val="3366FF">
                    <a:alpha val="100000"/>
                  </a:srgbClr>
                </a:solidFill>
                <a:prstDash val="sysDash"/>
                <a:round/>
              </a:ln>
            </c:spPr>
            <c:trendlineType val="linear"/>
            <c:forward val="0"/>
            <c:backward val="0"/>
            <c:dispRSqr val="0"/>
            <c:dispEq val="0"/>
          </c:trendline>
          <c:cat>
            <c:multiLvlStrRef>
              <c:f>'[做图表 Microsoft Excel 97-2003 工作表 (2).xls]Sheet1'!$B$27:$C$28</c:f>
              <c:multiLvlStrCache>
                <c:ptCount val="2"/>
                <c:lvl>
                  <c:pt idx="0">
                    <c:v>2017年</c:v>
                  </c:pt>
                  <c:pt idx="1">
                    <c:v>2018年</c:v>
                  </c:pt>
                </c:lvl>
                <c:lvl/>
              </c:multiLvlStrCache>
            </c:multiLvlStrRef>
          </c:cat>
          <c:val>
            <c:numRef>
              <c:f>'[做图表 Microsoft Excel 97-2003 工作表 (2).xls]Sheet1'!$B$29:$C$29</c:f>
              <c:numCache>
                <c:formatCode>General</c:formatCode>
                <c:ptCount val="2"/>
                <c:pt idx="0">
                  <c:v>344.07</c:v>
                </c:pt>
                <c:pt idx="1">
                  <c:v>340.87</c:v>
                </c:pt>
              </c:numCache>
            </c:numRef>
          </c:val>
        </c:ser>
        <c:ser>
          <c:idx val="1"/>
          <c:order val="1"/>
          <c:tx>
            <c:strRef>
              <c:f>'[做图表 Microsoft Excel 97-2003 工作表 (2).xls]Sheet1'!$A$30</c:f>
              <c:strCache>
                <c:ptCount val="1"/>
                <c:pt idx="0">
                  <c:v>支出总决算</c:v>
                </c:pt>
              </c:strCache>
            </c:strRef>
          </c:tx>
          <c:spPr>
            <a:solidFill>
              <a:srgbClr val="ED7D31">
                <a:alpha val="100000"/>
              </a:srgbClr>
            </a:solidFill>
            <a:ln w="3175">
              <a:noFill/>
            </a:ln>
          </c:spPr>
          <c:invertIfNegative val="0"/>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spPr>
              <a:ln w="19050" cap="rnd" cmpd="sng" algn="ctr">
                <a:solidFill>
                  <a:srgbClr val="FF6600">
                    <a:alpha val="100000"/>
                  </a:srgbClr>
                </a:solidFill>
                <a:prstDash val="sysDash"/>
                <a:round/>
              </a:ln>
            </c:spPr>
            <c:trendlineType val="linear"/>
            <c:forward val="0"/>
            <c:backward val="0"/>
            <c:dispRSqr val="0"/>
            <c:dispEq val="0"/>
          </c:trendline>
          <c:cat>
            <c:multiLvlStrRef>
              <c:f>'[做图表 Microsoft Excel 97-2003 工作表 (2).xls]Sheet1'!$B$27:$C$28</c:f>
              <c:multiLvlStrCache>
                <c:ptCount val="2"/>
                <c:lvl>
                  <c:pt idx="0">
                    <c:v>2017年</c:v>
                  </c:pt>
                  <c:pt idx="1">
                    <c:v>2018年</c:v>
                  </c:pt>
                </c:lvl>
                <c:lvl/>
              </c:multiLvlStrCache>
            </c:multiLvlStrRef>
          </c:cat>
          <c:val>
            <c:numRef>
              <c:f>'[做图表 Microsoft Excel 97-2003 工作表 (2).xls]Sheet1'!$B$30:$C$30</c:f>
              <c:numCache>
                <c:formatCode>General</c:formatCode>
                <c:ptCount val="2"/>
                <c:pt idx="0">
                  <c:v>487.39</c:v>
                </c:pt>
                <c:pt idx="1">
                  <c:v>502.32</c:v>
                </c:pt>
              </c:numCache>
            </c:numRef>
          </c:val>
        </c:ser>
        <c:dLbls>
          <c:showLegendKey val="0"/>
          <c:showVal val="0"/>
          <c:showCatName val="0"/>
          <c:showSerName val="0"/>
          <c:showPercent val="0"/>
          <c:showBubbleSize val="0"/>
        </c:dLbls>
        <c:gapWidth val="219"/>
        <c:overlap val="-27"/>
        <c:axId val="677755795"/>
        <c:axId val="189369784"/>
      </c:barChart>
      <c:catAx>
        <c:axId val="677755795"/>
        <c:scaling>
          <c:orientation val="minMax"/>
        </c:scaling>
        <c:delete val="0"/>
        <c:axPos val="b"/>
        <c:majorTickMark val="none"/>
        <c:minorTickMark val="none"/>
        <c:tickLblPos val="nextTo"/>
        <c:spPr>
          <a:ln w="3175" cap="flat" cmpd="sng" algn="ctr">
            <a:solidFill>
              <a:srgbClr val="C0C0C0">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189369784"/>
        <c:crosses val="autoZero"/>
        <c:auto val="1"/>
        <c:lblAlgn val="ctr"/>
        <c:lblOffset val="100"/>
        <c:tickLblSkip val="1"/>
        <c:noMultiLvlLbl val="0"/>
      </c:catAx>
      <c:valAx>
        <c:axId val="189369784"/>
        <c:scaling>
          <c:orientation val="minMax"/>
        </c:scaling>
        <c:delete val="0"/>
        <c:axPos val="l"/>
        <c:majorGridlines>
          <c:spPr>
            <a:ln w="3175" cap="flat" cmpd="sng" algn="ctr">
              <a:solidFill>
                <a:srgbClr val="C0C0C0">
                  <a:alpha val="100000"/>
                </a:srgbClr>
              </a:solidFill>
              <a:prstDash val="solid"/>
              <a:round/>
            </a:ln>
          </c:spPr>
        </c:majorGridlines>
        <c:numFmt formatCode="General" sourceLinked="1"/>
        <c:majorTickMark val="none"/>
        <c:minorTickMark val="none"/>
        <c:tickLblPos val="nextTo"/>
        <c:spPr>
          <a:ln w="317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677755795"/>
        <c:crosses val="autoZero"/>
        <c:crossBetween val="between"/>
      </c:valAx>
      <c:spPr>
        <a:noFill/>
        <a:ln w="3175">
          <a:noFill/>
        </a:ln>
      </c:spPr>
    </c:plotArea>
    <c:legend>
      <c:legendPos val="r"/>
      <c:layout>
        <c:manualLayout>
          <c:xMode val="edge"/>
          <c:yMode val="edge"/>
          <c:x val="0.24925"/>
          <c:y val="0.83325"/>
          <c:w val="0.60425"/>
          <c:h val="0.1105"/>
        </c:manualLayout>
      </c:layout>
      <c:overlay val="0"/>
      <c:spPr>
        <a:noFill/>
        <a:ln w="3175">
          <a:noFill/>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C0C0C0">
          <a:alpha val="100000"/>
        </a:srgbClr>
      </a:solid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大田医院一般公共预算财政拨款支出</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manualLayout>
          <c:layoutTarget val="inner"/>
          <c:xMode val="edge"/>
          <c:yMode val="edge"/>
          <c:x val="0.12875"/>
          <c:y val="0.19725"/>
          <c:w val="0.83975"/>
          <c:h val="0.45875"/>
        </c:manualLayout>
      </c:layout>
      <c:barChart>
        <c:barDir val="col"/>
        <c:grouping val="stacked"/>
        <c:varyColors val="0"/>
        <c:ser>
          <c:idx val="0"/>
          <c:order val="0"/>
          <c:spPr>
            <a:solidFill>
              <a:srgbClr val="5B9BD5">
                <a:alpha val="100000"/>
              </a:srgbClr>
            </a:solidFill>
            <a:ln w="3175">
              <a:noFill/>
            </a:ln>
          </c:spPr>
          <c:invertIfNegative val="0"/>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00503850000000002"/>
                  <c:y val="-0.21653"/>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03850000000002"/>
                  <c:y val="-0.22432875"/>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errBars>
            <c:errBarType val="both"/>
            <c:errValType val="stdDev"/>
            <c:noEndCap val="0"/>
            <c:val val="1"/>
            <c:spPr>
              <a:ln w="9525" cap="flat" cmpd="sng" algn="ctr">
                <a:solidFill>
                  <a:srgbClr val="333333">
                    <a:alpha val="100000"/>
                  </a:srgbClr>
                </a:solidFill>
                <a:prstDash val="solid"/>
                <a:round/>
              </a:ln>
            </c:spPr>
          </c:errBars>
          <c:cat>
            <c:multiLvlStrRef>
              <c:f>'[做图表 Microsoft Excel 97-2003 工作表 (2).xls]Sheet1'!$A$53:$C$54</c:f>
              <c:multiLvlStrCache>
                <c:ptCount val="3"/>
                <c:lvl>
                  <c:pt idx="1">
                    <c:v>2017年</c:v>
                  </c:pt>
                  <c:pt idx="2">
                    <c:v>2018年</c:v>
                  </c:pt>
                </c:lvl>
                <c:lvl>
                  <c:pt idx="0">
                    <c:v>单位：万元</c:v>
                  </c:pt>
                </c:lvl>
              </c:multiLvlStrCache>
            </c:multiLvlStrRef>
          </c:cat>
          <c:val>
            <c:numRef>
              <c:f>'[做图表 Microsoft Excel 97-2003 工作表 (2).xls]Sheet1'!$A$55:$C$55</c:f>
              <c:numCache>
                <c:formatCode>General</c:formatCode>
                <c:ptCount val="3"/>
                <c:pt idx="1">
                  <c:v>335.03</c:v>
                </c:pt>
                <c:pt idx="2">
                  <c:v>349.06</c:v>
                </c:pt>
              </c:numCache>
            </c:numRef>
          </c:val>
        </c:ser>
        <c:dLbls>
          <c:showLegendKey val="0"/>
          <c:showVal val="0"/>
          <c:showCatName val="0"/>
          <c:showSerName val="0"/>
          <c:showPercent val="0"/>
          <c:showBubbleSize val="0"/>
        </c:dLbls>
        <c:gapWidth val="150"/>
        <c:overlap val="100"/>
        <c:axId val="460310542"/>
        <c:axId val="671707976"/>
      </c:barChart>
      <c:catAx>
        <c:axId val="460310542"/>
        <c:scaling>
          <c:orientation val="minMax"/>
        </c:scaling>
        <c:delete val="0"/>
        <c:axPos val="b"/>
        <c:majorTickMark val="none"/>
        <c:minorTickMark val="none"/>
        <c:tickLblPos val="nextTo"/>
        <c:spPr>
          <a:ln w="3175" cap="flat" cmpd="sng" algn="ctr">
            <a:solidFill>
              <a:srgbClr val="C0C0C0">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671707976"/>
        <c:crosses val="autoZero"/>
        <c:auto val="1"/>
        <c:lblAlgn val="ctr"/>
        <c:lblOffset val="100"/>
        <c:tickLblSkip val="1"/>
        <c:noMultiLvlLbl val="0"/>
      </c:catAx>
      <c:valAx>
        <c:axId val="671707976"/>
        <c:scaling>
          <c:orientation val="minMax"/>
        </c:scaling>
        <c:delete val="0"/>
        <c:axPos val="l"/>
        <c:majorGridlines>
          <c:spPr>
            <a:ln w="3175" cap="flat" cmpd="sng" algn="ctr">
              <a:solidFill>
                <a:srgbClr val="C0C0C0">
                  <a:alpha val="100000"/>
                </a:srgbClr>
              </a:solidFill>
              <a:prstDash val="solid"/>
              <a:round/>
            </a:ln>
          </c:spPr>
        </c:majorGridlines>
        <c:numFmt formatCode="General" sourceLinked="1"/>
        <c:majorTickMark val="none"/>
        <c:minorTickMark val="none"/>
        <c:tickLblPos val="nextTo"/>
        <c:spPr>
          <a:ln w="317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460310542"/>
        <c:crosses val="autoZero"/>
        <c:crossBetween val="between"/>
      </c:valAx>
      <c:spPr>
        <a:noFill/>
        <a:ln w="3175">
          <a:noFill/>
        </a:ln>
      </c:spPr>
    </c:plotArea>
    <c:plotVisOnly val="1"/>
    <c:dispBlanksAs val="gap"/>
    <c:showDLblsOverMax val="0"/>
  </c:chart>
  <c:spPr>
    <a:solidFill>
      <a:srgbClr val="FFFFFF">
        <a:alpha val="100000"/>
      </a:srgbClr>
    </a:solidFill>
    <a:ln w="3175" cap="flat" cmpd="sng" algn="ctr">
      <a:solidFill>
        <a:srgbClr val="C0C0C0">
          <a:alpha val="100000"/>
        </a:srgbClr>
      </a:solid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一般公共预算财政拨款支出</a:t>
            </a:r>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'[做图表 Microsoft Excel 97-2003 工作表 (2).xls]Sheet1'!$A$109:$A$111</c:f>
              <c:strCache>
                <c:ptCount val="3"/>
                <c:pt idx="0">
                  <c:v>社会保障和就业支出</c:v>
                </c:pt>
                <c:pt idx="1">
                  <c:v>医疗卫生与计划生育支出</c:v>
                </c:pt>
                <c:pt idx="2">
                  <c:v>住房保障支出</c:v>
                </c:pt>
              </c:strCache>
            </c:strRef>
          </c:cat>
          <c:val>
            <c:numRef>
              <c:f>'[做图表 Microsoft Excel 97-2003 工作表 (2).xls]Sheet1'!$B$109:$B$111</c:f>
              <c:numCache>
                <c:formatCode>General</c:formatCode>
                <c:ptCount val="3"/>
                <c:pt idx="0">
                  <c:v>26.34</c:v>
                </c:pt>
                <c:pt idx="1">
                  <c:v>292.15</c:v>
                </c:pt>
                <c:pt idx="2">
                  <c:v>30.58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三公”经费财政拨款支出决算（单位：万元）</a:t>
            </a:r>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rPr lang="en-US" altLang="zh-CN"/>
                      <a:t>100%</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'[做图表 Microsoft Excel 97-2003 工作表 (2).xls]Sheet1'!$A$95:$A$98</c:f>
              <c:strCache>
                <c:ptCount val="4"/>
                <c:pt idx="0">
                  <c:v>公出国（境）费</c:v>
                </c:pt>
                <c:pt idx="1">
                  <c:v>公务接待费</c:v>
                </c:pt>
                <c:pt idx="2">
                  <c:v>公务用车购置</c:v>
                </c:pt>
                <c:pt idx="3">
                  <c:v>公务车运行维护费</c:v>
                </c:pt>
              </c:strCache>
            </c:strRef>
          </c:cat>
          <c:val>
            <c:numRef>
              <c:f>'[做图表 Microsoft Excel 97-2003 工作表 (2).xls]Sheet1'!$B$95:$B$98</c:f>
              <c:numCache>
                <c:formatCode>General</c:formatCode>
                <c:ptCount val="4"/>
                <c:pt idx="0">
                  <c:v>0</c:v>
                </c:pt>
                <c:pt idx="1">
                  <c:v>0</c:v>
                </c:pt>
                <c:pt idx="2">
                  <c:v>0</c:v>
                </c:pt>
                <c:pt idx="3">
                  <c:v>0.86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75FAA-EE6B-4255-86C0-34F5AF716925}">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1574</Words>
  <Characters>8977</Characters>
  <Lines>74</Lines>
  <Paragraphs>21</Paragraphs>
  <TotalTime>3</TotalTime>
  <ScaleCrop>false</ScaleCrop>
  <LinksUpToDate>false</LinksUpToDate>
  <CharactersWithSpaces>10530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2019-11-08T06:04:00Z</cp:lastPrinted>
  <dcterms:modified xsi:type="dcterms:W3CDTF">2019-11-08T06:44:09Z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