
<file path=[Content_Types].xml><?xml version="1.0" encoding="utf-8"?>
<Types xmlns="http://schemas.openxmlformats.org/package/2006/content-types">
  <Default Extension="xml" ContentType="application/xml"/>
  <Default Extension="xlsx" ContentType="application/vnd.openxmlformats-officedocument.spreadsheetml.sheet"/>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harts/chart1.xml" ContentType="application/vnd.openxmlformats-officedocument.drawingml.chart+xml"/>
  <Override PartName="/word/charts/chart2.xml" ContentType="application/vnd.openxmlformats-officedocument.drawingml.chart+xml"/>
  <Override PartName="/word/charts/chart3.xml" ContentType="application/vnd.openxmlformats-officedocument.drawingml.chart+xml"/>
  <Override PartName="/word/charts/chart4.xml" ContentType="application/vnd.openxmlformats-officedocument.drawingml.chart+xml"/>
  <Override PartName="/word/charts/chart5.xml" ContentType="application/vnd.openxmlformats-officedocument.drawingml.chart+xml"/>
  <Override PartName="/word/charts/chart6.xml" ContentType="application/vnd.openxmlformats-officedocument.drawingml.chart+xml"/>
  <Override PartName="/word/charts/chart7.xml" ContentType="application/vnd.openxmlformats-officedocument.drawingml.chart+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600" w:lineRule="exact"/>
        <w:jc w:val="center"/>
        <w:outlineLvl w:val="0"/>
        <w:rPr>
          <w:rFonts w:ascii="方正小标宋简体" w:hAnsi="宋体" w:eastAsia="方正小标宋简体"/>
          <w:color w:val="000000"/>
          <w:sz w:val="72"/>
          <w:szCs w:val="72"/>
        </w:rPr>
      </w:pPr>
      <w:bookmarkStart w:id="0" w:name="_Toc15306267"/>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spacing w:line="600" w:lineRule="exact"/>
        <w:jc w:val="center"/>
        <w:outlineLvl w:val="0"/>
        <w:rPr>
          <w:rFonts w:ascii="方正小标宋简体" w:hAnsi="宋体" w:eastAsia="方正小标宋简体"/>
          <w:color w:val="000000"/>
          <w:sz w:val="72"/>
          <w:szCs w:val="72"/>
        </w:rPr>
      </w:pPr>
    </w:p>
    <w:p>
      <w:pPr>
        <w:adjustRightInd w:val="0"/>
        <w:snapToGrid w:val="0"/>
        <w:spacing w:line="360" w:lineRule="auto"/>
        <w:jc w:val="center"/>
        <w:outlineLvl w:val="0"/>
        <w:rPr>
          <w:rFonts w:ascii="方正小标宋简体" w:hAnsi="宋体" w:eastAsia="方正小标宋简体"/>
          <w:color w:val="000000"/>
          <w:sz w:val="72"/>
          <w:szCs w:val="72"/>
        </w:rPr>
      </w:pPr>
      <w:bookmarkStart w:id="1" w:name="_Toc15377193"/>
      <w:bookmarkStart w:id="2" w:name="_Toc15378441"/>
      <w:bookmarkStart w:id="3" w:name="_Toc15396475"/>
      <w:bookmarkStart w:id="4" w:name="_Toc15396597"/>
      <w:bookmarkStart w:id="5" w:name="_Toc15377425"/>
      <w:r>
        <w:rPr>
          <w:rFonts w:ascii="黑体" w:hAnsi="黑体" w:eastAsia="黑体"/>
          <w:color w:val="000000"/>
          <w:sz w:val="72"/>
          <w:szCs w:val="72"/>
        </w:rPr>
        <w:t>201</w:t>
      </w:r>
      <w:r>
        <w:rPr>
          <w:rFonts w:hint="eastAsia" w:ascii="黑体" w:hAnsi="黑体" w:eastAsia="黑体"/>
          <w:color w:val="000000"/>
          <w:sz w:val="72"/>
          <w:szCs w:val="72"/>
        </w:rPr>
        <w:t>8</w:t>
      </w:r>
      <w:r>
        <w:rPr>
          <w:rFonts w:hint="eastAsia" w:ascii="方正小标宋简体" w:hAnsi="宋体" w:eastAsia="方正小标宋简体"/>
          <w:color w:val="000000"/>
          <w:sz w:val="72"/>
          <w:szCs w:val="72"/>
        </w:rPr>
        <w:t>年度</w:t>
      </w:r>
      <w:bookmarkEnd w:id="1"/>
      <w:bookmarkEnd w:id="2"/>
      <w:bookmarkEnd w:id="3"/>
      <w:bookmarkEnd w:id="4"/>
      <w:bookmarkEnd w:id="5"/>
    </w:p>
    <w:p>
      <w:pPr>
        <w:adjustRightInd w:val="0"/>
        <w:snapToGrid w:val="0"/>
        <w:spacing w:line="360" w:lineRule="auto"/>
        <w:jc w:val="center"/>
        <w:outlineLvl w:val="0"/>
        <w:rPr>
          <w:rFonts w:ascii="方正小标宋简体" w:hAnsi="宋体" w:eastAsia="方正小标宋简体"/>
          <w:color w:val="000000"/>
          <w:sz w:val="72"/>
          <w:szCs w:val="72"/>
        </w:rPr>
      </w:pPr>
      <w:bookmarkStart w:id="6" w:name="_Toc15377426"/>
      <w:bookmarkStart w:id="7" w:name="_Toc15378442"/>
      <w:bookmarkStart w:id="8" w:name="_Toc15396476"/>
      <w:bookmarkStart w:id="9" w:name="_Toc15396598"/>
      <w:bookmarkStart w:id="10" w:name="_Toc15377194"/>
      <w:r>
        <w:rPr>
          <w:rFonts w:hint="eastAsia" w:ascii="方正小标宋简体" w:hAnsi="宋体" w:eastAsia="方正小标宋简体"/>
          <w:color w:val="000000"/>
          <w:sz w:val="72"/>
          <w:szCs w:val="72"/>
        </w:rPr>
        <w:t>四川</w:t>
      </w:r>
      <w:bookmarkEnd w:id="0"/>
      <w:bookmarkStart w:id="11" w:name="_Toc15306268"/>
      <w:r>
        <w:rPr>
          <w:rFonts w:hint="eastAsia" w:ascii="方正小标宋简体" w:hAnsi="宋体" w:eastAsia="方正小标宋简体"/>
          <w:color w:val="000000"/>
          <w:sz w:val="72"/>
          <w:szCs w:val="72"/>
        </w:rPr>
        <w:t>省攀枝花市仁和区总工会部门决算</w:t>
      </w:r>
      <w:bookmarkEnd w:id="6"/>
      <w:bookmarkEnd w:id="7"/>
      <w:bookmarkEnd w:id="8"/>
      <w:bookmarkEnd w:id="9"/>
      <w:bookmarkEnd w:id="10"/>
      <w:bookmarkEnd w:id="11"/>
    </w:p>
    <w:p>
      <w:pPr>
        <w:adjustRightInd w:val="0"/>
        <w:snapToGrid w:val="0"/>
        <w:spacing w:line="360" w:lineRule="auto"/>
        <w:jc w:val="center"/>
        <w:outlineLvl w:val="0"/>
        <w:rPr>
          <w:rFonts w:ascii="方正小标宋简体" w:hAnsi="宋体" w:eastAsia="方正小标宋简体"/>
          <w:color w:val="000000"/>
          <w:sz w:val="52"/>
          <w:szCs w:val="52"/>
        </w:rPr>
      </w:pPr>
    </w:p>
    <w:p>
      <w:pPr>
        <w:widowControl/>
        <w:jc w:val="center"/>
        <w:rPr>
          <w:rFonts w:ascii="黑体" w:hAnsi="黑体" w:eastAsia="黑体"/>
          <w:color w:val="000000"/>
          <w:sz w:val="48"/>
          <w:szCs w:val="48"/>
        </w:rPr>
      </w:pPr>
      <w:r>
        <w:rPr>
          <w:rFonts w:ascii="方正小标宋简体" w:hAnsi="宋体" w:eastAsia="方正小标宋简体"/>
          <w:color w:val="000000"/>
          <w:sz w:val="36"/>
          <w:szCs w:val="36"/>
        </w:rPr>
        <w:br w:type="page"/>
      </w:r>
      <w:r>
        <w:rPr>
          <w:rFonts w:hint="eastAsia" w:ascii="黑体" w:hAnsi="黑体" w:eastAsia="黑体"/>
          <w:color w:val="000000"/>
          <w:sz w:val="48"/>
          <w:szCs w:val="48"/>
        </w:rPr>
        <w:t>目录</w:t>
      </w:r>
    </w:p>
    <w:p>
      <w:pPr>
        <w:widowControl/>
        <w:jc w:val="center"/>
        <w:rPr>
          <w:rFonts w:ascii="黑体" w:hAnsi="黑体" w:eastAsia="黑体"/>
          <w:sz w:val="28"/>
          <w:szCs w:val="28"/>
        </w:rPr>
      </w:pPr>
      <w:r>
        <w:rPr>
          <w:rFonts w:ascii="黑体" w:hAnsi="黑体" w:eastAsia="黑体"/>
          <w:color w:val="000000"/>
          <w:sz w:val="48"/>
          <w:szCs w:val="48"/>
        </w:rPr>
        <w:fldChar w:fldCharType="begin"/>
      </w:r>
      <w:r>
        <w:rPr>
          <w:rFonts w:ascii="黑体" w:hAnsi="黑体" w:eastAsia="黑体"/>
          <w:color w:val="000000"/>
          <w:sz w:val="48"/>
          <w:szCs w:val="48"/>
        </w:rPr>
        <w:instrText xml:space="preserve"> TOC \o "1-2" \h \z \u </w:instrText>
      </w:r>
      <w:r>
        <w:rPr>
          <w:rFonts w:ascii="黑体" w:hAnsi="黑体" w:eastAsia="黑体"/>
          <w:color w:val="000000"/>
          <w:sz w:val="48"/>
          <w:szCs w:val="48"/>
        </w:rPr>
        <w:fldChar w:fldCharType="separate"/>
      </w:r>
    </w:p>
    <w:p/>
    <w:p>
      <w:pPr>
        <w:pStyle w:val="6"/>
        <w:spacing w:before="0"/>
        <w:rPr>
          <w:rFonts w:cstheme="minorBidi"/>
        </w:rPr>
      </w:pPr>
      <w:r>
        <w:fldChar w:fldCharType="begin"/>
      </w:r>
      <w:r>
        <w:instrText xml:space="preserve"> HYPERLINK \l "_Toc15396599" </w:instrText>
      </w:r>
      <w:r>
        <w:fldChar w:fldCharType="separate"/>
      </w:r>
      <w:r>
        <w:rPr>
          <w:rStyle w:val="12"/>
          <w:rFonts w:hint="eastAsia"/>
        </w:rPr>
        <w:t>第一部分部门概况</w:t>
      </w:r>
      <w:r>
        <w:tab/>
      </w:r>
      <w:r>
        <w:rPr>
          <w:rFonts w:hint="eastAsia"/>
        </w:rPr>
        <w:t>4</w:t>
      </w:r>
      <w:r>
        <w:rPr>
          <w:rFonts w:hint="eastAsia"/>
        </w:rPr>
        <w:fldChar w:fldCharType="end"/>
      </w:r>
    </w:p>
    <w:p>
      <w:pPr>
        <w:pStyle w:val="7"/>
        <w:rPr>
          <w:rFonts w:ascii="仿宋" w:hAnsi="仿宋" w:eastAsia="仿宋" w:cstheme="minorBidi"/>
          <w:sz w:val="28"/>
          <w:szCs w:val="28"/>
        </w:rPr>
      </w:pPr>
      <w:r>
        <w:fldChar w:fldCharType="begin"/>
      </w:r>
      <w:r>
        <w:instrText xml:space="preserve"> HYPERLINK \l "_Toc15396600" </w:instrText>
      </w:r>
      <w:r>
        <w:fldChar w:fldCharType="separate"/>
      </w:r>
      <w:r>
        <w:rPr>
          <w:rStyle w:val="12"/>
          <w:rFonts w:hint="eastAsia" w:ascii="仿宋" w:hAnsi="仿宋" w:eastAsia="仿宋"/>
          <w:sz w:val="28"/>
          <w:szCs w:val="28"/>
        </w:rPr>
        <w:t>一、基本职能及主要工作</w:t>
      </w:r>
      <w:r>
        <w:rPr>
          <w:rFonts w:ascii="仿宋" w:hAnsi="仿宋" w:eastAsia="仿宋"/>
          <w:sz w:val="28"/>
          <w:szCs w:val="28"/>
        </w:rPr>
        <w:tab/>
      </w:r>
      <w:r>
        <w:rPr>
          <w:rFonts w:hint="eastAsia" w:ascii="仿宋" w:hAnsi="仿宋" w:eastAsia="仿宋"/>
          <w:sz w:val="28"/>
          <w:szCs w:val="28"/>
        </w:rPr>
        <w:t>4</w:t>
      </w:r>
      <w:r>
        <w:rPr>
          <w:rFonts w:hint="eastAsia" w:ascii="仿宋" w:hAnsi="仿宋" w:eastAsia="仿宋"/>
          <w:sz w:val="28"/>
          <w:szCs w:val="28"/>
        </w:rPr>
        <w:fldChar w:fldCharType="end"/>
      </w:r>
    </w:p>
    <w:p>
      <w:pPr>
        <w:pStyle w:val="7"/>
        <w:rPr>
          <w:rFonts w:ascii="仿宋" w:hAnsi="仿宋" w:eastAsia="仿宋" w:cstheme="minorBidi"/>
          <w:sz w:val="28"/>
          <w:szCs w:val="28"/>
        </w:rPr>
      </w:pPr>
      <w:r>
        <w:fldChar w:fldCharType="begin"/>
      </w:r>
      <w:r>
        <w:instrText xml:space="preserve"> HYPERLINK \l "_Toc15396601" </w:instrText>
      </w:r>
      <w:r>
        <w:fldChar w:fldCharType="separate"/>
      </w:r>
      <w:r>
        <w:rPr>
          <w:rStyle w:val="12"/>
          <w:rFonts w:hint="eastAsia" w:ascii="仿宋" w:hAnsi="仿宋" w:eastAsia="仿宋"/>
          <w:sz w:val="28"/>
          <w:szCs w:val="28"/>
        </w:rPr>
        <w:t>二、机构设置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_Toc15396601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6"/>
        <w:spacing w:before="0"/>
      </w:pPr>
      <w:r>
        <w:fldChar w:fldCharType="begin"/>
      </w:r>
      <w:r>
        <w:instrText xml:space="preserve"> HYPERLINK \l "_Toc15396602" </w:instrText>
      </w:r>
      <w:r>
        <w:fldChar w:fldCharType="separate"/>
      </w:r>
      <w:r>
        <w:rPr>
          <w:rStyle w:val="12"/>
          <w:rFonts w:hint="eastAsia"/>
        </w:rPr>
        <w:t>第二部分</w:t>
      </w:r>
      <w:r>
        <w:rPr>
          <w:rStyle w:val="12"/>
        </w:rPr>
        <w:t xml:space="preserve"> 2018</w:t>
      </w:r>
      <w:r>
        <w:rPr>
          <w:rStyle w:val="12"/>
          <w:rFonts w:hint="eastAsia"/>
        </w:rPr>
        <w:t>年度部门决算情况说明</w:t>
      </w:r>
      <w:r>
        <w:tab/>
      </w:r>
      <w:r>
        <w:fldChar w:fldCharType="begin"/>
      </w:r>
      <w:r>
        <w:instrText xml:space="preserve"> PAGEREF _Toc15396602 \h </w:instrText>
      </w:r>
      <w:r>
        <w:fldChar w:fldCharType="separate"/>
      </w:r>
      <w:r>
        <w:t>11</w:t>
      </w:r>
      <w:r>
        <w:fldChar w:fldCharType="end"/>
      </w:r>
      <w:r>
        <w:fldChar w:fldCharType="end"/>
      </w:r>
    </w:p>
    <w:p>
      <w:pPr>
        <w:pStyle w:val="7"/>
        <w:rPr>
          <w:rFonts w:ascii="仿宋" w:hAnsi="仿宋" w:eastAsia="仿宋" w:cstheme="minorBidi"/>
          <w:sz w:val="28"/>
          <w:szCs w:val="28"/>
        </w:rPr>
      </w:pPr>
      <w:r>
        <w:fldChar w:fldCharType="begin"/>
      </w:r>
      <w:r>
        <w:instrText xml:space="preserve"> HYPERLINK \l "_Toc15396603" </w:instrText>
      </w:r>
      <w:r>
        <w:fldChar w:fldCharType="separate"/>
      </w:r>
      <w:r>
        <w:rPr>
          <w:rStyle w:val="12"/>
          <w:rFonts w:hint="eastAsia" w:ascii="仿宋" w:hAnsi="仿宋" w:eastAsia="仿宋" w:cstheme="majorBidi"/>
          <w:bCs/>
          <w:sz w:val="28"/>
          <w:szCs w:val="28"/>
        </w:rPr>
        <w:t>一、</w:t>
      </w:r>
      <w:r>
        <w:rPr>
          <w:rStyle w:val="12"/>
          <w:rFonts w:hint="eastAsia" w:ascii="仿宋" w:hAnsi="仿宋" w:eastAsia="仿宋"/>
          <w:sz w:val="28"/>
          <w:szCs w:val="28"/>
        </w:rPr>
        <w:t>收</w:t>
      </w:r>
      <w:r>
        <w:rPr>
          <w:rStyle w:val="12"/>
          <w:rFonts w:hint="eastAsia" w:ascii="仿宋" w:hAnsi="仿宋" w:eastAsia="仿宋" w:cstheme="majorBidi"/>
          <w:bCs/>
          <w:sz w:val="28"/>
          <w:szCs w:val="28"/>
        </w:rPr>
        <w:t>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_Toc15396603 \h </w:instrText>
      </w:r>
      <w:r>
        <w:rPr>
          <w:rFonts w:ascii="仿宋" w:hAnsi="仿宋" w:eastAsia="仿宋"/>
          <w:sz w:val="28"/>
          <w:szCs w:val="28"/>
        </w:rPr>
        <w:fldChar w:fldCharType="separate"/>
      </w:r>
      <w:r>
        <w:rPr>
          <w:rFonts w:ascii="仿宋" w:hAnsi="仿宋" w:eastAsia="仿宋"/>
          <w:sz w:val="28"/>
          <w:szCs w:val="28"/>
        </w:rPr>
        <w:t>11</w:t>
      </w:r>
      <w:r>
        <w:rPr>
          <w:rFonts w:ascii="仿宋" w:hAnsi="仿宋" w:eastAsia="仿宋"/>
          <w:sz w:val="28"/>
          <w:szCs w:val="28"/>
        </w:rPr>
        <w:fldChar w:fldCharType="end"/>
      </w:r>
      <w:r>
        <w:rPr>
          <w:rFonts w:ascii="仿宋" w:hAnsi="仿宋" w:eastAsia="仿宋"/>
          <w:sz w:val="28"/>
          <w:szCs w:val="28"/>
        </w:rPr>
        <w:fldChar w:fldCharType="end"/>
      </w:r>
    </w:p>
    <w:p>
      <w:pPr>
        <w:pStyle w:val="7"/>
        <w:rPr>
          <w:rFonts w:ascii="仿宋" w:hAnsi="仿宋" w:eastAsia="仿宋" w:cstheme="minorBidi"/>
          <w:sz w:val="28"/>
          <w:szCs w:val="28"/>
        </w:rPr>
      </w:pPr>
      <w:r>
        <w:fldChar w:fldCharType="begin"/>
      </w:r>
      <w:r>
        <w:instrText xml:space="preserve"> HYPERLINK \l "_Toc15396604" </w:instrText>
      </w:r>
      <w:r>
        <w:fldChar w:fldCharType="separate"/>
      </w:r>
      <w:r>
        <w:rPr>
          <w:rStyle w:val="12"/>
          <w:rFonts w:hint="eastAsia" w:ascii="仿宋" w:hAnsi="仿宋" w:eastAsia="仿宋" w:cstheme="majorBidi"/>
          <w:bCs/>
          <w:sz w:val="28"/>
          <w:szCs w:val="28"/>
        </w:rPr>
        <w:t>二、</w:t>
      </w:r>
      <w:r>
        <w:rPr>
          <w:rStyle w:val="12"/>
          <w:rFonts w:hint="eastAsia" w:ascii="仿宋" w:hAnsi="仿宋" w:eastAsia="仿宋"/>
          <w:sz w:val="28"/>
          <w:szCs w:val="28"/>
        </w:rPr>
        <w:t>收</w:t>
      </w:r>
      <w:r>
        <w:rPr>
          <w:rStyle w:val="12"/>
          <w:rFonts w:hint="eastAsia" w:ascii="仿宋" w:hAnsi="仿宋" w:eastAsia="仿宋" w:cstheme="majorBidi"/>
          <w:bCs/>
          <w:sz w:val="28"/>
          <w:szCs w:val="28"/>
        </w:rPr>
        <w:t>入决算情况说明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_Toc15396604 \h </w:instrText>
      </w:r>
      <w:r>
        <w:rPr>
          <w:rFonts w:ascii="仿宋" w:hAnsi="仿宋" w:eastAsia="仿宋"/>
          <w:sz w:val="28"/>
          <w:szCs w:val="28"/>
        </w:rPr>
        <w:fldChar w:fldCharType="separate"/>
      </w:r>
      <w:r>
        <w:rPr>
          <w:rFonts w:ascii="仿宋" w:hAnsi="仿宋" w:eastAsia="仿宋"/>
          <w:sz w:val="28"/>
          <w:szCs w:val="28"/>
        </w:rPr>
        <w:t>12</w:t>
      </w:r>
      <w:r>
        <w:rPr>
          <w:rFonts w:ascii="仿宋" w:hAnsi="仿宋" w:eastAsia="仿宋"/>
          <w:sz w:val="28"/>
          <w:szCs w:val="28"/>
        </w:rPr>
        <w:fldChar w:fldCharType="end"/>
      </w:r>
      <w:r>
        <w:rPr>
          <w:rFonts w:ascii="仿宋" w:hAnsi="仿宋" w:eastAsia="仿宋"/>
          <w:sz w:val="28"/>
          <w:szCs w:val="28"/>
        </w:rPr>
        <w:fldChar w:fldCharType="end"/>
      </w:r>
    </w:p>
    <w:p>
      <w:pPr>
        <w:pStyle w:val="7"/>
        <w:rPr>
          <w:rFonts w:ascii="仿宋" w:hAnsi="仿宋" w:eastAsia="仿宋" w:cstheme="minorBidi"/>
          <w:sz w:val="28"/>
          <w:szCs w:val="28"/>
        </w:rPr>
      </w:pPr>
      <w:r>
        <w:fldChar w:fldCharType="begin"/>
      </w:r>
      <w:r>
        <w:instrText xml:space="preserve"> HYPERLINK \l "_Toc15396605" </w:instrText>
      </w:r>
      <w:r>
        <w:fldChar w:fldCharType="separate"/>
      </w:r>
      <w:r>
        <w:rPr>
          <w:rStyle w:val="12"/>
          <w:rFonts w:hint="eastAsia" w:ascii="仿宋" w:hAnsi="仿宋" w:eastAsia="仿宋" w:cstheme="majorBidi"/>
          <w:bCs/>
          <w:sz w:val="28"/>
          <w:szCs w:val="28"/>
        </w:rPr>
        <w:t>三、</w:t>
      </w:r>
      <w:r>
        <w:rPr>
          <w:rStyle w:val="12"/>
          <w:rFonts w:hint="eastAsia" w:ascii="仿宋" w:hAnsi="仿宋" w:eastAsia="仿宋"/>
          <w:sz w:val="28"/>
          <w:szCs w:val="28"/>
        </w:rPr>
        <w:t>支</w:t>
      </w:r>
      <w:r>
        <w:rPr>
          <w:rStyle w:val="12"/>
          <w:rFonts w:hint="eastAsia" w:ascii="仿宋" w:hAnsi="仿宋" w:eastAsia="仿宋" w:cstheme="majorBidi"/>
          <w:bCs/>
          <w:sz w:val="28"/>
          <w:szCs w:val="28"/>
        </w:rPr>
        <w:t>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_Toc15396605 \h </w:instrText>
      </w:r>
      <w:r>
        <w:rPr>
          <w:rFonts w:ascii="仿宋" w:hAnsi="仿宋" w:eastAsia="仿宋"/>
          <w:sz w:val="28"/>
          <w:szCs w:val="28"/>
        </w:rPr>
        <w:fldChar w:fldCharType="separate"/>
      </w:r>
      <w:r>
        <w:rPr>
          <w:rFonts w:ascii="仿宋" w:hAnsi="仿宋" w:eastAsia="仿宋"/>
          <w:sz w:val="28"/>
          <w:szCs w:val="28"/>
        </w:rPr>
        <w:t>13</w:t>
      </w:r>
      <w:r>
        <w:rPr>
          <w:rFonts w:ascii="仿宋" w:hAnsi="仿宋" w:eastAsia="仿宋"/>
          <w:sz w:val="28"/>
          <w:szCs w:val="28"/>
        </w:rPr>
        <w:fldChar w:fldCharType="end"/>
      </w:r>
      <w:r>
        <w:rPr>
          <w:rFonts w:ascii="仿宋" w:hAnsi="仿宋" w:eastAsia="仿宋"/>
          <w:sz w:val="28"/>
          <w:szCs w:val="28"/>
        </w:rPr>
        <w:fldChar w:fldCharType="end"/>
      </w:r>
    </w:p>
    <w:p>
      <w:pPr>
        <w:pStyle w:val="7"/>
        <w:rPr>
          <w:rFonts w:ascii="仿宋" w:hAnsi="仿宋" w:eastAsia="仿宋" w:cstheme="minorBidi"/>
          <w:sz w:val="28"/>
          <w:szCs w:val="28"/>
        </w:rPr>
      </w:pPr>
      <w:r>
        <w:fldChar w:fldCharType="begin"/>
      </w:r>
      <w:r>
        <w:instrText xml:space="preserve"> HYPERLINK \l "_Toc15396606" </w:instrText>
      </w:r>
      <w:r>
        <w:fldChar w:fldCharType="separate"/>
      </w:r>
      <w:r>
        <w:rPr>
          <w:rStyle w:val="12"/>
          <w:rFonts w:hint="eastAsia" w:ascii="仿宋" w:hAnsi="仿宋" w:eastAsia="仿宋"/>
          <w:sz w:val="28"/>
          <w:szCs w:val="28"/>
        </w:rPr>
        <w:t>四、财</w:t>
      </w:r>
      <w:r>
        <w:rPr>
          <w:rStyle w:val="12"/>
          <w:rFonts w:hint="eastAsia" w:ascii="仿宋" w:hAnsi="仿宋" w:eastAsia="仿宋" w:cstheme="majorBidi"/>
          <w:bCs/>
          <w:sz w:val="28"/>
          <w:szCs w:val="28"/>
        </w:rPr>
        <w:t>政拨款收入支出决算总体情况说明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_Toc15396606 \h </w:instrText>
      </w:r>
      <w:r>
        <w:rPr>
          <w:rFonts w:ascii="仿宋" w:hAnsi="仿宋" w:eastAsia="仿宋"/>
          <w:sz w:val="28"/>
          <w:szCs w:val="28"/>
        </w:rPr>
        <w:fldChar w:fldCharType="separate"/>
      </w:r>
      <w:r>
        <w:rPr>
          <w:rFonts w:ascii="仿宋" w:hAnsi="仿宋" w:eastAsia="仿宋"/>
          <w:sz w:val="28"/>
          <w:szCs w:val="28"/>
        </w:rPr>
        <w:t>13</w:t>
      </w:r>
      <w:r>
        <w:rPr>
          <w:rFonts w:ascii="仿宋" w:hAnsi="仿宋" w:eastAsia="仿宋"/>
          <w:sz w:val="28"/>
          <w:szCs w:val="28"/>
        </w:rPr>
        <w:fldChar w:fldCharType="end"/>
      </w:r>
      <w:r>
        <w:rPr>
          <w:rFonts w:ascii="仿宋" w:hAnsi="仿宋" w:eastAsia="仿宋"/>
          <w:sz w:val="28"/>
          <w:szCs w:val="28"/>
        </w:rPr>
        <w:fldChar w:fldCharType="end"/>
      </w:r>
    </w:p>
    <w:p>
      <w:pPr>
        <w:pStyle w:val="7"/>
        <w:rPr>
          <w:rFonts w:ascii="仿宋" w:hAnsi="仿宋" w:eastAsia="仿宋" w:cstheme="minorBidi"/>
          <w:sz w:val="28"/>
          <w:szCs w:val="28"/>
        </w:rPr>
      </w:pPr>
      <w:r>
        <w:fldChar w:fldCharType="begin"/>
      </w:r>
      <w:r>
        <w:instrText xml:space="preserve"> HYPERLINK \l "_Toc15396607" </w:instrText>
      </w:r>
      <w:r>
        <w:fldChar w:fldCharType="separate"/>
      </w:r>
      <w:r>
        <w:rPr>
          <w:rStyle w:val="12"/>
          <w:rFonts w:hint="eastAsia" w:ascii="仿宋" w:hAnsi="仿宋" w:eastAsia="仿宋"/>
          <w:sz w:val="28"/>
          <w:szCs w:val="28"/>
        </w:rPr>
        <w:t>五、一</w:t>
      </w:r>
      <w:r>
        <w:rPr>
          <w:rStyle w:val="12"/>
          <w:rFonts w:hint="eastAsia" w:ascii="仿宋" w:hAnsi="仿宋" w:eastAsia="仿宋" w:cstheme="majorBidi"/>
          <w:bCs/>
          <w:sz w:val="28"/>
          <w:szCs w:val="28"/>
        </w:rPr>
        <w:t>般公共预算财政拨款支出决算情况说明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_Toc15396607 \h </w:instrText>
      </w:r>
      <w:r>
        <w:rPr>
          <w:rFonts w:ascii="仿宋" w:hAnsi="仿宋" w:eastAsia="仿宋"/>
          <w:sz w:val="28"/>
          <w:szCs w:val="28"/>
        </w:rPr>
        <w:fldChar w:fldCharType="separate"/>
      </w:r>
      <w:r>
        <w:rPr>
          <w:rFonts w:ascii="仿宋" w:hAnsi="仿宋" w:eastAsia="仿宋"/>
          <w:sz w:val="28"/>
          <w:szCs w:val="28"/>
        </w:rPr>
        <w:t>14</w:t>
      </w:r>
      <w:r>
        <w:rPr>
          <w:rFonts w:ascii="仿宋" w:hAnsi="仿宋" w:eastAsia="仿宋"/>
          <w:sz w:val="28"/>
          <w:szCs w:val="28"/>
        </w:rPr>
        <w:fldChar w:fldCharType="end"/>
      </w:r>
      <w:r>
        <w:rPr>
          <w:rFonts w:ascii="仿宋" w:hAnsi="仿宋" w:eastAsia="仿宋"/>
          <w:sz w:val="28"/>
          <w:szCs w:val="28"/>
        </w:rPr>
        <w:fldChar w:fldCharType="end"/>
      </w:r>
    </w:p>
    <w:p>
      <w:pPr>
        <w:pStyle w:val="7"/>
        <w:rPr>
          <w:rFonts w:ascii="仿宋" w:hAnsi="仿宋" w:eastAsia="仿宋" w:cstheme="minorBidi"/>
          <w:sz w:val="28"/>
          <w:szCs w:val="28"/>
        </w:rPr>
      </w:pPr>
      <w:r>
        <w:fldChar w:fldCharType="begin"/>
      </w:r>
      <w:r>
        <w:instrText xml:space="preserve"> HYPERLINK \l "_Toc15396608" </w:instrText>
      </w:r>
      <w:r>
        <w:fldChar w:fldCharType="separate"/>
      </w:r>
      <w:r>
        <w:rPr>
          <w:rStyle w:val="12"/>
          <w:rFonts w:hint="eastAsia" w:ascii="仿宋" w:hAnsi="仿宋" w:eastAsia="仿宋"/>
          <w:sz w:val="28"/>
          <w:szCs w:val="28"/>
        </w:rPr>
        <w:t>六、一</w:t>
      </w:r>
      <w:r>
        <w:rPr>
          <w:rStyle w:val="12"/>
          <w:rFonts w:hint="eastAsia" w:ascii="仿宋" w:hAnsi="仿宋" w:eastAsia="仿宋" w:cstheme="majorBidi"/>
          <w:bCs/>
          <w:sz w:val="28"/>
          <w:szCs w:val="28"/>
        </w:rPr>
        <w:t>般公共预算财政拨款基本支出决算情况说明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_Toc15396608 \h </w:instrText>
      </w:r>
      <w:r>
        <w:rPr>
          <w:rFonts w:ascii="仿宋" w:hAnsi="仿宋" w:eastAsia="仿宋"/>
          <w:sz w:val="28"/>
          <w:szCs w:val="28"/>
        </w:rPr>
        <w:fldChar w:fldCharType="separate"/>
      </w:r>
      <w:r>
        <w:rPr>
          <w:rFonts w:ascii="仿宋" w:hAnsi="仿宋" w:eastAsia="仿宋"/>
          <w:sz w:val="28"/>
          <w:szCs w:val="28"/>
        </w:rPr>
        <w:t>16</w:t>
      </w:r>
      <w:r>
        <w:rPr>
          <w:rFonts w:ascii="仿宋" w:hAnsi="仿宋" w:eastAsia="仿宋"/>
          <w:sz w:val="28"/>
          <w:szCs w:val="28"/>
        </w:rPr>
        <w:fldChar w:fldCharType="end"/>
      </w:r>
      <w:r>
        <w:rPr>
          <w:rFonts w:ascii="仿宋" w:hAnsi="仿宋" w:eastAsia="仿宋"/>
          <w:sz w:val="28"/>
          <w:szCs w:val="28"/>
        </w:rPr>
        <w:fldChar w:fldCharType="end"/>
      </w:r>
    </w:p>
    <w:p>
      <w:pPr>
        <w:pStyle w:val="7"/>
        <w:rPr>
          <w:rFonts w:ascii="仿宋" w:hAnsi="仿宋" w:eastAsia="仿宋" w:cstheme="minorBidi"/>
          <w:sz w:val="28"/>
          <w:szCs w:val="28"/>
        </w:rPr>
      </w:pPr>
      <w:r>
        <w:fldChar w:fldCharType="begin"/>
      </w:r>
      <w:r>
        <w:instrText xml:space="preserve"> HYPERLINK \l "_Toc15396609" </w:instrText>
      </w:r>
      <w:r>
        <w:fldChar w:fldCharType="separate"/>
      </w:r>
      <w:r>
        <w:rPr>
          <w:rStyle w:val="12"/>
          <w:rFonts w:hint="eastAsia" w:ascii="仿宋" w:hAnsi="仿宋" w:eastAsia="仿宋"/>
          <w:sz w:val="28"/>
          <w:szCs w:val="28"/>
        </w:rPr>
        <w:t>七、</w:t>
      </w:r>
      <w:r>
        <w:rPr>
          <w:rStyle w:val="12"/>
          <w:rFonts w:ascii="仿宋" w:hAnsi="仿宋" w:eastAsia="仿宋"/>
          <w:sz w:val="28"/>
          <w:szCs w:val="28"/>
        </w:rPr>
        <w:t>“</w:t>
      </w:r>
      <w:r>
        <w:rPr>
          <w:rStyle w:val="12"/>
          <w:rFonts w:hint="eastAsia" w:ascii="仿宋" w:hAnsi="仿宋" w:eastAsia="仿宋" w:cstheme="majorBidi"/>
          <w:bCs/>
          <w:sz w:val="28"/>
          <w:szCs w:val="28"/>
        </w:rPr>
        <w:t>三公”经费财政拨款支出决算情况说明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_Toc15396609 \h </w:instrText>
      </w:r>
      <w:r>
        <w:rPr>
          <w:rFonts w:ascii="仿宋" w:hAnsi="仿宋" w:eastAsia="仿宋"/>
          <w:sz w:val="28"/>
          <w:szCs w:val="28"/>
        </w:rPr>
        <w:fldChar w:fldCharType="separate"/>
      </w:r>
      <w:r>
        <w:rPr>
          <w:rFonts w:ascii="仿宋" w:hAnsi="仿宋" w:eastAsia="仿宋"/>
          <w:sz w:val="28"/>
          <w:szCs w:val="28"/>
        </w:rPr>
        <w:t>16</w:t>
      </w:r>
      <w:r>
        <w:rPr>
          <w:rFonts w:ascii="仿宋" w:hAnsi="仿宋" w:eastAsia="仿宋"/>
          <w:sz w:val="28"/>
          <w:szCs w:val="28"/>
        </w:rPr>
        <w:fldChar w:fldCharType="end"/>
      </w:r>
      <w:r>
        <w:rPr>
          <w:rFonts w:ascii="仿宋" w:hAnsi="仿宋" w:eastAsia="仿宋"/>
          <w:sz w:val="28"/>
          <w:szCs w:val="28"/>
        </w:rPr>
        <w:fldChar w:fldCharType="end"/>
      </w:r>
    </w:p>
    <w:p>
      <w:pPr>
        <w:pStyle w:val="7"/>
        <w:rPr>
          <w:rFonts w:ascii="仿宋" w:hAnsi="仿宋" w:eastAsia="仿宋" w:cstheme="minorBidi"/>
          <w:sz w:val="28"/>
          <w:szCs w:val="28"/>
        </w:rPr>
      </w:pPr>
      <w:r>
        <w:fldChar w:fldCharType="begin"/>
      </w:r>
      <w:r>
        <w:instrText xml:space="preserve"> HYPERLINK \l "_Toc15396610" </w:instrText>
      </w:r>
      <w:r>
        <w:fldChar w:fldCharType="separate"/>
      </w:r>
      <w:r>
        <w:rPr>
          <w:rStyle w:val="12"/>
          <w:rFonts w:hint="eastAsia" w:ascii="仿宋" w:hAnsi="仿宋" w:eastAsia="仿宋"/>
          <w:sz w:val="28"/>
          <w:szCs w:val="28"/>
        </w:rPr>
        <w:t>八、</w:t>
      </w:r>
      <w:r>
        <w:rPr>
          <w:rStyle w:val="12"/>
          <w:rFonts w:hint="eastAsia" w:ascii="仿宋" w:hAnsi="仿宋" w:eastAsia="仿宋" w:cstheme="majorBidi"/>
          <w:bCs/>
          <w:sz w:val="28"/>
          <w:szCs w:val="28"/>
        </w:rPr>
        <w:t>政府性基金预算支出决算情况说明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_Toc15396610 \h </w:instrText>
      </w:r>
      <w:r>
        <w:rPr>
          <w:rFonts w:ascii="仿宋" w:hAnsi="仿宋" w:eastAsia="仿宋"/>
          <w:sz w:val="28"/>
          <w:szCs w:val="28"/>
        </w:rPr>
        <w:fldChar w:fldCharType="separate"/>
      </w:r>
      <w:r>
        <w:rPr>
          <w:rFonts w:ascii="仿宋" w:hAnsi="仿宋" w:eastAsia="仿宋"/>
          <w:sz w:val="28"/>
          <w:szCs w:val="28"/>
        </w:rPr>
        <w:t>17</w:t>
      </w:r>
      <w:r>
        <w:rPr>
          <w:rFonts w:ascii="仿宋" w:hAnsi="仿宋" w:eastAsia="仿宋"/>
          <w:sz w:val="28"/>
          <w:szCs w:val="28"/>
        </w:rPr>
        <w:fldChar w:fldCharType="end"/>
      </w:r>
      <w:r>
        <w:rPr>
          <w:rFonts w:ascii="仿宋" w:hAnsi="仿宋" w:eastAsia="仿宋"/>
          <w:sz w:val="28"/>
          <w:szCs w:val="28"/>
        </w:rPr>
        <w:fldChar w:fldCharType="end"/>
      </w:r>
    </w:p>
    <w:p>
      <w:pPr>
        <w:pStyle w:val="7"/>
        <w:rPr>
          <w:rFonts w:ascii="仿宋" w:hAnsi="仿宋" w:eastAsia="仿宋" w:cstheme="minorBidi"/>
          <w:sz w:val="28"/>
          <w:szCs w:val="28"/>
        </w:rPr>
      </w:pPr>
      <w:r>
        <w:fldChar w:fldCharType="begin"/>
      </w:r>
      <w:r>
        <w:instrText xml:space="preserve"> HYPERLINK \l "_Toc15396611" </w:instrText>
      </w:r>
      <w:r>
        <w:fldChar w:fldCharType="separate"/>
      </w:r>
      <w:r>
        <w:rPr>
          <w:rStyle w:val="12"/>
          <w:rFonts w:hint="eastAsia" w:ascii="仿宋" w:hAnsi="仿宋" w:eastAsia="仿宋" w:cstheme="majorBidi"/>
          <w:bCs/>
          <w:sz w:val="28"/>
          <w:szCs w:val="28"/>
        </w:rPr>
        <w:t>九、</w:t>
      </w:r>
      <w:r>
        <w:rPr>
          <w:rStyle w:val="12"/>
          <w:rFonts w:hint="eastAsia" w:ascii="仿宋" w:hAnsi="仿宋" w:eastAsia="仿宋"/>
          <w:sz w:val="28"/>
          <w:szCs w:val="28"/>
        </w:rPr>
        <w:t xml:space="preserve"> 国</w:t>
      </w:r>
      <w:r>
        <w:rPr>
          <w:rStyle w:val="12"/>
          <w:rFonts w:hint="eastAsia" w:ascii="仿宋" w:hAnsi="仿宋" w:eastAsia="仿宋" w:cstheme="majorBidi"/>
          <w:bCs/>
          <w:sz w:val="28"/>
          <w:szCs w:val="28"/>
        </w:rPr>
        <w:t>有资本经营预算支出决算情况说明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_Toc15396611 \h </w:instrText>
      </w:r>
      <w:r>
        <w:rPr>
          <w:rFonts w:ascii="仿宋" w:hAnsi="仿宋" w:eastAsia="仿宋"/>
          <w:sz w:val="28"/>
          <w:szCs w:val="28"/>
        </w:rPr>
        <w:fldChar w:fldCharType="separate"/>
      </w:r>
      <w:r>
        <w:rPr>
          <w:rFonts w:ascii="仿宋" w:hAnsi="仿宋" w:eastAsia="仿宋"/>
          <w:sz w:val="28"/>
          <w:szCs w:val="28"/>
        </w:rPr>
        <w:t>17</w:t>
      </w:r>
      <w:r>
        <w:rPr>
          <w:rFonts w:ascii="仿宋" w:hAnsi="仿宋" w:eastAsia="仿宋"/>
          <w:sz w:val="28"/>
          <w:szCs w:val="28"/>
        </w:rPr>
        <w:fldChar w:fldCharType="end"/>
      </w:r>
      <w:r>
        <w:rPr>
          <w:rFonts w:ascii="仿宋" w:hAnsi="仿宋" w:eastAsia="仿宋"/>
          <w:sz w:val="28"/>
          <w:szCs w:val="28"/>
        </w:rPr>
        <w:fldChar w:fldCharType="end"/>
      </w:r>
    </w:p>
    <w:p>
      <w:pPr>
        <w:pStyle w:val="7"/>
        <w:rPr>
          <w:rFonts w:ascii="仿宋" w:hAnsi="仿宋" w:eastAsia="仿宋" w:cstheme="minorBidi"/>
          <w:sz w:val="28"/>
          <w:szCs w:val="28"/>
        </w:rPr>
      </w:pPr>
      <w:r>
        <w:fldChar w:fldCharType="begin"/>
      </w:r>
      <w:r>
        <w:instrText xml:space="preserve"> HYPERLINK \l "_Toc15396612" </w:instrText>
      </w:r>
      <w:r>
        <w:fldChar w:fldCharType="separate"/>
      </w:r>
      <w:r>
        <w:rPr>
          <w:rStyle w:val="12"/>
          <w:rFonts w:hint="eastAsia" w:ascii="仿宋" w:hAnsi="仿宋" w:eastAsia="仿宋"/>
          <w:sz w:val="28"/>
          <w:szCs w:val="28"/>
        </w:rPr>
        <w:t>十</w:t>
      </w:r>
      <w:r>
        <w:rPr>
          <w:rStyle w:val="12"/>
          <w:rFonts w:hint="eastAsia" w:ascii="仿宋" w:hAnsi="仿宋" w:eastAsia="仿宋" w:cstheme="majorBidi"/>
          <w:bCs/>
          <w:sz w:val="28"/>
          <w:szCs w:val="28"/>
        </w:rPr>
        <w:t>、预算绩效情况说明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24</w:t>
      </w:r>
      <w:r>
        <w:rPr>
          <w:rFonts w:ascii="仿宋" w:hAnsi="仿宋" w:eastAsia="仿宋"/>
          <w:sz w:val="28"/>
          <w:szCs w:val="28"/>
        </w:rPr>
        <w:fldChar w:fldCharType="end"/>
      </w:r>
      <w:r>
        <w:rPr>
          <w:rFonts w:ascii="仿宋" w:hAnsi="仿宋" w:eastAsia="仿宋"/>
          <w:sz w:val="28"/>
          <w:szCs w:val="28"/>
        </w:rPr>
        <w:fldChar w:fldCharType="end"/>
      </w:r>
    </w:p>
    <w:p>
      <w:pPr>
        <w:pStyle w:val="7"/>
        <w:rPr>
          <w:rFonts w:ascii="仿宋" w:hAnsi="仿宋" w:eastAsia="仿宋" w:cstheme="minorBidi"/>
          <w:sz w:val="28"/>
          <w:szCs w:val="28"/>
        </w:rPr>
      </w:pPr>
      <w:r>
        <w:fldChar w:fldCharType="begin"/>
      </w:r>
      <w:r>
        <w:instrText xml:space="preserve"> HYPERLINK \l "_Toc15396612" </w:instrText>
      </w:r>
      <w:r>
        <w:fldChar w:fldCharType="separate"/>
      </w:r>
      <w:r>
        <w:rPr>
          <w:rStyle w:val="12"/>
          <w:rFonts w:hint="eastAsia" w:ascii="仿宋" w:hAnsi="仿宋" w:eastAsia="仿宋"/>
          <w:sz w:val="28"/>
          <w:szCs w:val="28"/>
        </w:rPr>
        <w:t>十</w:t>
      </w:r>
      <w:r>
        <w:rPr>
          <w:rStyle w:val="12"/>
          <w:rFonts w:hint="eastAsia" w:ascii="仿宋" w:hAnsi="仿宋" w:eastAsia="仿宋" w:cstheme="majorBidi"/>
          <w:bCs/>
          <w:sz w:val="28"/>
          <w:szCs w:val="28"/>
        </w:rPr>
        <w:t>一、其他重要事项的情况说明</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_Toc15396612 \h </w:instrText>
      </w:r>
      <w:r>
        <w:rPr>
          <w:rFonts w:ascii="仿宋" w:hAnsi="仿宋" w:eastAsia="仿宋"/>
          <w:sz w:val="28"/>
          <w:szCs w:val="28"/>
        </w:rPr>
        <w:fldChar w:fldCharType="separate"/>
      </w:r>
      <w:r>
        <w:rPr>
          <w:rFonts w:ascii="仿宋" w:hAnsi="仿宋" w:eastAsia="仿宋"/>
          <w:sz w:val="28"/>
          <w:szCs w:val="28"/>
        </w:rPr>
        <w:t>24</w:t>
      </w:r>
      <w:r>
        <w:rPr>
          <w:rFonts w:ascii="仿宋" w:hAnsi="仿宋" w:eastAsia="仿宋"/>
          <w:sz w:val="28"/>
          <w:szCs w:val="28"/>
        </w:rPr>
        <w:fldChar w:fldCharType="end"/>
      </w:r>
      <w:r>
        <w:rPr>
          <w:rFonts w:ascii="仿宋" w:hAnsi="仿宋" w:eastAsia="仿宋"/>
          <w:sz w:val="28"/>
          <w:szCs w:val="28"/>
        </w:rPr>
        <w:fldChar w:fldCharType="end"/>
      </w:r>
    </w:p>
    <w:p>
      <w:pPr>
        <w:pStyle w:val="6"/>
        <w:spacing w:before="0"/>
        <w:rPr>
          <w:rFonts w:cstheme="minorBidi"/>
        </w:rPr>
      </w:pPr>
      <w:r>
        <w:fldChar w:fldCharType="begin"/>
      </w:r>
      <w:r>
        <w:instrText xml:space="preserve"> HYPERLINK \l "_Toc15396613" </w:instrText>
      </w:r>
      <w:r>
        <w:fldChar w:fldCharType="separate"/>
      </w:r>
      <w:r>
        <w:rPr>
          <w:rStyle w:val="12"/>
          <w:rFonts w:hint="eastAsia"/>
          <w:bCs/>
          <w:kern w:val="44"/>
        </w:rPr>
        <w:t>第三部分</w:t>
      </w:r>
      <w:r>
        <w:rPr>
          <w:rStyle w:val="12"/>
          <w:rFonts w:hint="eastAsia"/>
        </w:rPr>
        <w:t xml:space="preserve"> 名</w:t>
      </w:r>
      <w:r>
        <w:rPr>
          <w:rStyle w:val="12"/>
          <w:rFonts w:hint="eastAsia"/>
          <w:bCs/>
          <w:kern w:val="44"/>
        </w:rPr>
        <w:t>词解释</w:t>
      </w:r>
      <w:r>
        <w:tab/>
      </w:r>
      <w:r>
        <w:fldChar w:fldCharType="begin"/>
      </w:r>
      <w:r>
        <w:instrText xml:space="preserve"> PAGEREF _Toc15396613 \h </w:instrText>
      </w:r>
      <w:r>
        <w:fldChar w:fldCharType="separate"/>
      </w:r>
      <w:r>
        <w:t>26</w:t>
      </w:r>
      <w:r>
        <w:fldChar w:fldCharType="end"/>
      </w:r>
      <w:r>
        <w:fldChar w:fldCharType="end"/>
      </w:r>
    </w:p>
    <w:p>
      <w:pPr>
        <w:pStyle w:val="6"/>
        <w:spacing w:before="0"/>
        <w:rPr>
          <w:rFonts w:cstheme="minorBidi"/>
        </w:rPr>
      </w:pPr>
      <w:r>
        <w:fldChar w:fldCharType="begin"/>
      </w:r>
      <w:r>
        <w:instrText xml:space="preserve"> HYPERLINK \l "_Toc15396614" </w:instrText>
      </w:r>
      <w:r>
        <w:fldChar w:fldCharType="separate"/>
      </w:r>
      <w:r>
        <w:rPr>
          <w:rStyle w:val="12"/>
          <w:rFonts w:hint="eastAsia"/>
        </w:rPr>
        <w:t>第</w:t>
      </w:r>
      <w:r>
        <w:rPr>
          <w:rStyle w:val="12"/>
          <w:rFonts w:hint="eastAsia"/>
          <w:bCs/>
          <w:kern w:val="44"/>
        </w:rPr>
        <w:t>四部分附件</w:t>
      </w:r>
      <w:r>
        <w:tab/>
      </w:r>
      <w:r>
        <w:fldChar w:fldCharType="begin"/>
      </w:r>
      <w:r>
        <w:instrText xml:space="preserve"> PAGEREF _Toc15396614 \h </w:instrText>
      </w:r>
      <w:r>
        <w:fldChar w:fldCharType="separate"/>
      </w:r>
      <w:r>
        <w:t>28</w:t>
      </w:r>
      <w:r>
        <w:fldChar w:fldCharType="end"/>
      </w:r>
      <w:r>
        <w:fldChar w:fldCharType="end"/>
      </w:r>
    </w:p>
    <w:p>
      <w:pPr>
        <w:pStyle w:val="7"/>
        <w:rPr>
          <w:rFonts w:ascii="仿宋" w:hAnsi="仿宋" w:eastAsia="仿宋" w:cstheme="minorBidi"/>
          <w:sz w:val="28"/>
          <w:szCs w:val="28"/>
        </w:rPr>
      </w:pPr>
      <w:r>
        <w:fldChar w:fldCharType="begin"/>
      </w:r>
      <w:r>
        <w:instrText xml:space="preserve"> HYPERLINK \l "_Toc15396615" </w:instrText>
      </w:r>
      <w:r>
        <w:fldChar w:fldCharType="separate"/>
      </w:r>
      <w:r>
        <w:rPr>
          <w:rStyle w:val="12"/>
          <w:rFonts w:hint="eastAsia" w:ascii="仿宋" w:hAnsi="仿宋" w:eastAsia="仿宋"/>
          <w:kern w:val="44"/>
          <w:sz w:val="28"/>
          <w:szCs w:val="28"/>
        </w:rPr>
        <w:t>附件</w:t>
      </w:r>
      <w:r>
        <w:rPr>
          <w:rStyle w:val="12"/>
          <w:rFonts w:ascii="仿宋" w:hAnsi="仿宋" w:eastAsia="仿宋"/>
          <w:kern w:val="44"/>
          <w:sz w:val="28"/>
          <w:szCs w:val="28"/>
        </w:rPr>
        <w:t>1</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_Toc15396615 \h </w:instrText>
      </w:r>
      <w:r>
        <w:rPr>
          <w:rFonts w:ascii="仿宋" w:hAnsi="仿宋" w:eastAsia="仿宋"/>
          <w:sz w:val="28"/>
          <w:szCs w:val="28"/>
        </w:rPr>
        <w:fldChar w:fldCharType="separate"/>
      </w:r>
      <w:r>
        <w:rPr>
          <w:rFonts w:ascii="仿宋" w:hAnsi="仿宋" w:eastAsia="仿宋"/>
          <w:sz w:val="28"/>
          <w:szCs w:val="28"/>
        </w:rPr>
        <w:t>28</w:t>
      </w:r>
      <w:r>
        <w:rPr>
          <w:rFonts w:ascii="仿宋" w:hAnsi="仿宋" w:eastAsia="仿宋"/>
          <w:sz w:val="28"/>
          <w:szCs w:val="28"/>
        </w:rPr>
        <w:fldChar w:fldCharType="end"/>
      </w:r>
      <w:r>
        <w:rPr>
          <w:rFonts w:ascii="仿宋" w:hAnsi="仿宋" w:eastAsia="仿宋"/>
          <w:sz w:val="28"/>
          <w:szCs w:val="28"/>
        </w:rPr>
        <w:fldChar w:fldCharType="end"/>
      </w:r>
    </w:p>
    <w:p>
      <w:pPr>
        <w:pStyle w:val="7"/>
        <w:rPr>
          <w:rFonts w:ascii="仿宋" w:hAnsi="仿宋" w:eastAsia="仿宋" w:cstheme="minorBidi"/>
          <w:sz w:val="28"/>
          <w:szCs w:val="28"/>
        </w:rPr>
      </w:pPr>
      <w:r>
        <w:fldChar w:fldCharType="begin"/>
      </w:r>
      <w:r>
        <w:instrText xml:space="preserve"> HYPERLINK \l "_Toc15396617" </w:instrText>
      </w:r>
      <w:r>
        <w:fldChar w:fldCharType="separate"/>
      </w:r>
      <w:r>
        <w:rPr>
          <w:rFonts w:ascii="仿宋" w:hAnsi="仿宋" w:eastAsia="仿宋"/>
          <w:sz w:val="28"/>
          <w:szCs w:val="28"/>
        </w:rPr>
        <w:tab/>
      </w:r>
      <w:r>
        <w:rPr>
          <w:rFonts w:ascii="仿宋" w:hAnsi="仿宋" w:eastAsia="仿宋"/>
          <w:sz w:val="28"/>
          <w:szCs w:val="28"/>
        </w:rPr>
        <w:fldChar w:fldCharType="end"/>
      </w:r>
    </w:p>
    <w:p>
      <w:pPr>
        <w:pStyle w:val="6"/>
        <w:spacing w:before="0"/>
        <w:rPr>
          <w:rFonts w:cstheme="minorBidi"/>
        </w:rPr>
      </w:pPr>
      <w:r>
        <w:fldChar w:fldCharType="begin"/>
      </w:r>
      <w:r>
        <w:instrText xml:space="preserve"> HYPERLINK \l "_Toc15396618" </w:instrText>
      </w:r>
      <w:r>
        <w:fldChar w:fldCharType="separate"/>
      </w:r>
      <w:r>
        <w:rPr>
          <w:rStyle w:val="12"/>
          <w:rFonts w:hint="eastAsia"/>
        </w:rPr>
        <w:t>第</w:t>
      </w:r>
      <w:r>
        <w:rPr>
          <w:rStyle w:val="12"/>
          <w:rFonts w:hint="eastAsia"/>
          <w:bCs/>
          <w:kern w:val="44"/>
        </w:rPr>
        <w:t>五部分附表</w:t>
      </w:r>
      <w:r>
        <w:tab/>
      </w:r>
      <w:r>
        <w:fldChar w:fldCharType="begin"/>
      </w:r>
      <w:r>
        <w:instrText xml:space="preserve"> PAGEREF _Toc15396618 \h </w:instrText>
      </w:r>
      <w:r>
        <w:fldChar w:fldCharType="separate"/>
      </w:r>
      <w:r>
        <w:t>33</w:t>
      </w:r>
      <w:r>
        <w:fldChar w:fldCharType="end"/>
      </w:r>
      <w:r>
        <w:fldChar w:fldCharType="end"/>
      </w:r>
    </w:p>
    <w:p>
      <w:pPr>
        <w:pStyle w:val="7"/>
        <w:rPr>
          <w:rFonts w:ascii="仿宋" w:hAnsi="仿宋" w:eastAsia="仿宋" w:cstheme="minorBidi"/>
          <w:sz w:val="28"/>
          <w:szCs w:val="28"/>
        </w:rPr>
      </w:pPr>
      <w:r>
        <w:rPr>
          <w:rFonts w:hint="eastAsia" w:ascii="仿宋" w:hAnsi="仿宋" w:eastAsia="仿宋"/>
          <w:sz w:val="28"/>
          <w:szCs w:val="28"/>
        </w:rPr>
        <w:t>一、</w:t>
      </w:r>
      <w:r>
        <w:fldChar w:fldCharType="begin"/>
      </w:r>
      <w:r>
        <w:instrText xml:space="preserve"> HYPERLINK \l "_Toc15396619" </w:instrText>
      </w:r>
      <w:r>
        <w:fldChar w:fldCharType="separate"/>
      </w:r>
      <w:r>
        <w:rPr>
          <w:rStyle w:val="12"/>
          <w:rFonts w:hint="eastAsia" w:ascii="仿宋" w:hAnsi="仿宋" w:eastAsia="仿宋"/>
          <w:sz w:val="28"/>
          <w:szCs w:val="28"/>
        </w:rPr>
        <w:t>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_Toc15396619 \h </w:instrText>
      </w:r>
      <w:r>
        <w:rPr>
          <w:rFonts w:ascii="仿宋" w:hAnsi="仿宋" w:eastAsia="仿宋"/>
          <w:sz w:val="28"/>
          <w:szCs w:val="28"/>
        </w:rPr>
        <w:fldChar w:fldCharType="separate"/>
      </w:r>
      <w:r>
        <w:rPr>
          <w:rFonts w:ascii="仿宋" w:hAnsi="仿宋" w:eastAsia="仿宋"/>
          <w:sz w:val="28"/>
          <w:szCs w:val="28"/>
        </w:rPr>
        <w:t>33</w:t>
      </w:r>
      <w:r>
        <w:rPr>
          <w:rFonts w:ascii="仿宋" w:hAnsi="仿宋" w:eastAsia="仿宋"/>
          <w:sz w:val="28"/>
          <w:szCs w:val="28"/>
        </w:rPr>
        <w:fldChar w:fldCharType="end"/>
      </w:r>
      <w:r>
        <w:rPr>
          <w:rFonts w:ascii="仿宋" w:hAnsi="仿宋" w:eastAsia="仿宋"/>
          <w:sz w:val="28"/>
          <w:szCs w:val="28"/>
        </w:rPr>
        <w:fldChar w:fldCharType="end"/>
      </w:r>
    </w:p>
    <w:p>
      <w:pPr>
        <w:pStyle w:val="7"/>
        <w:rPr>
          <w:rFonts w:ascii="仿宋" w:hAnsi="仿宋" w:eastAsia="仿宋" w:cstheme="minorBidi"/>
          <w:sz w:val="28"/>
          <w:szCs w:val="28"/>
        </w:rPr>
      </w:pPr>
      <w:r>
        <w:rPr>
          <w:rFonts w:hint="eastAsia" w:ascii="仿宋" w:hAnsi="仿宋" w:eastAsia="仿宋"/>
          <w:sz w:val="28"/>
          <w:szCs w:val="28"/>
        </w:rPr>
        <w:t>二、</w:t>
      </w:r>
      <w:r>
        <w:fldChar w:fldCharType="begin"/>
      </w:r>
      <w:r>
        <w:instrText xml:space="preserve"> HYPERLINK \l "_Toc15396620" </w:instrText>
      </w:r>
      <w:r>
        <w:fldChar w:fldCharType="separate"/>
      </w:r>
      <w:r>
        <w:rPr>
          <w:rStyle w:val="12"/>
          <w:rFonts w:hint="eastAsia" w:ascii="仿宋" w:hAnsi="仿宋" w:eastAsia="仿宋"/>
          <w:sz w:val="28"/>
          <w:szCs w:val="28"/>
        </w:rPr>
        <w:t>收入总表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_Toc15396620 \h </w:instrText>
      </w:r>
      <w:r>
        <w:rPr>
          <w:rFonts w:ascii="仿宋" w:hAnsi="仿宋" w:eastAsia="仿宋"/>
          <w:sz w:val="28"/>
          <w:szCs w:val="28"/>
        </w:rPr>
        <w:fldChar w:fldCharType="separate"/>
      </w:r>
      <w:r>
        <w:rPr>
          <w:rFonts w:ascii="仿宋" w:hAnsi="仿宋" w:eastAsia="仿宋"/>
          <w:sz w:val="28"/>
          <w:szCs w:val="28"/>
        </w:rPr>
        <w:t>33</w:t>
      </w:r>
      <w:r>
        <w:rPr>
          <w:rFonts w:ascii="仿宋" w:hAnsi="仿宋" w:eastAsia="仿宋"/>
          <w:sz w:val="28"/>
          <w:szCs w:val="28"/>
        </w:rPr>
        <w:fldChar w:fldCharType="end"/>
      </w:r>
      <w:r>
        <w:rPr>
          <w:rFonts w:ascii="仿宋" w:hAnsi="仿宋" w:eastAsia="仿宋"/>
          <w:sz w:val="28"/>
          <w:szCs w:val="28"/>
        </w:rPr>
        <w:fldChar w:fldCharType="end"/>
      </w:r>
    </w:p>
    <w:p>
      <w:pPr>
        <w:pStyle w:val="7"/>
        <w:rPr>
          <w:rFonts w:ascii="仿宋" w:hAnsi="仿宋" w:eastAsia="仿宋" w:cstheme="minorBidi"/>
          <w:sz w:val="28"/>
          <w:szCs w:val="28"/>
        </w:rPr>
      </w:pPr>
      <w:r>
        <w:rPr>
          <w:rFonts w:hint="eastAsia" w:ascii="仿宋" w:hAnsi="仿宋" w:eastAsia="仿宋"/>
          <w:sz w:val="28"/>
          <w:szCs w:val="28"/>
        </w:rPr>
        <w:t>三、</w:t>
      </w:r>
      <w:r>
        <w:fldChar w:fldCharType="begin"/>
      </w:r>
      <w:r>
        <w:instrText xml:space="preserve"> HYPERLINK \l "_Toc15396621" </w:instrText>
      </w:r>
      <w:r>
        <w:fldChar w:fldCharType="separate"/>
      </w:r>
      <w:r>
        <w:rPr>
          <w:rStyle w:val="12"/>
          <w:rFonts w:hint="eastAsia" w:ascii="仿宋" w:hAnsi="仿宋" w:eastAsia="仿宋"/>
          <w:sz w:val="28"/>
          <w:szCs w:val="28"/>
        </w:rPr>
        <w:t>支出总表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_Toc15396621 \h </w:instrText>
      </w:r>
      <w:r>
        <w:rPr>
          <w:rFonts w:ascii="仿宋" w:hAnsi="仿宋" w:eastAsia="仿宋"/>
          <w:sz w:val="28"/>
          <w:szCs w:val="28"/>
        </w:rPr>
        <w:fldChar w:fldCharType="separate"/>
      </w:r>
      <w:r>
        <w:rPr>
          <w:rFonts w:ascii="仿宋" w:hAnsi="仿宋" w:eastAsia="仿宋"/>
          <w:sz w:val="28"/>
          <w:szCs w:val="28"/>
        </w:rPr>
        <w:t>33</w:t>
      </w:r>
      <w:r>
        <w:rPr>
          <w:rFonts w:ascii="仿宋" w:hAnsi="仿宋" w:eastAsia="仿宋"/>
          <w:sz w:val="28"/>
          <w:szCs w:val="28"/>
        </w:rPr>
        <w:fldChar w:fldCharType="end"/>
      </w:r>
      <w:r>
        <w:rPr>
          <w:rFonts w:ascii="仿宋" w:hAnsi="仿宋" w:eastAsia="仿宋"/>
          <w:sz w:val="28"/>
          <w:szCs w:val="28"/>
        </w:rPr>
        <w:fldChar w:fldCharType="end"/>
      </w:r>
    </w:p>
    <w:p>
      <w:pPr>
        <w:pStyle w:val="7"/>
        <w:rPr>
          <w:rFonts w:ascii="仿宋" w:hAnsi="仿宋" w:eastAsia="仿宋" w:cstheme="minorBidi"/>
          <w:sz w:val="28"/>
          <w:szCs w:val="28"/>
        </w:rPr>
      </w:pPr>
      <w:r>
        <w:rPr>
          <w:rFonts w:hint="eastAsia" w:ascii="仿宋" w:hAnsi="仿宋" w:eastAsia="仿宋"/>
          <w:sz w:val="28"/>
          <w:szCs w:val="28"/>
        </w:rPr>
        <w:t>四、</w:t>
      </w:r>
      <w:r>
        <w:fldChar w:fldCharType="begin"/>
      </w:r>
      <w:r>
        <w:instrText xml:space="preserve"> HYPERLINK \l "_Toc15396622" </w:instrText>
      </w:r>
      <w:r>
        <w:fldChar w:fldCharType="separate"/>
      </w:r>
      <w:r>
        <w:rPr>
          <w:rStyle w:val="12"/>
          <w:rFonts w:hint="eastAsia" w:ascii="仿宋" w:hAnsi="仿宋" w:eastAsia="仿宋"/>
          <w:sz w:val="28"/>
          <w:szCs w:val="28"/>
        </w:rPr>
        <w:t>财政拨款收入支出决算总表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_Toc15396622 \h </w:instrText>
      </w:r>
      <w:r>
        <w:rPr>
          <w:rFonts w:ascii="仿宋" w:hAnsi="仿宋" w:eastAsia="仿宋"/>
          <w:sz w:val="28"/>
          <w:szCs w:val="28"/>
        </w:rPr>
        <w:fldChar w:fldCharType="separate"/>
      </w:r>
      <w:r>
        <w:rPr>
          <w:rFonts w:ascii="仿宋" w:hAnsi="仿宋" w:eastAsia="仿宋"/>
          <w:sz w:val="28"/>
          <w:szCs w:val="28"/>
        </w:rPr>
        <w:t>33</w:t>
      </w:r>
      <w:r>
        <w:rPr>
          <w:rFonts w:ascii="仿宋" w:hAnsi="仿宋" w:eastAsia="仿宋"/>
          <w:sz w:val="28"/>
          <w:szCs w:val="28"/>
        </w:rPr>
        <w:fldChar w:fldCharType="end"/>
      </w:r>
      <w:r>
        <w:rPr>
          <w:rFonts w:ascii="仿宋" w:hAnsi="仿宋" w:eastAsia="仿宋"/>
          <w:sz w:val="28"/>
          <w:szCs w:val="28"/>
        </w:rPr>
        <w:fldChar w:fldCharType="end"/>
      </w:r>
    </w:p>
    <w:p>
      <w:pPr>
        <w:pStyle w:val="7"/>
        <w:rPr>
          <w:rFonts w:ascii="仿宋" w:hAnsi="仿宋" w:eastAsia="仿宋"/>
          <w:sz w:val="28"/>
          <w:szCs w:val="28"/>
        </w:rPr>
      </w:pPr>
      <w:r>
        <w:rPr>
          <w:rFonts w:hint="eastAsia" w:ascii="仿宋" w:hAnsi="仿宋" w:eastAsia="仿宋"/>
          <w:sz w:val="28"/>
          <w:szCs w:val="28"/>
        </w:rPr>
        <w:t>五、</w:t>
      </w:r>
      <w:r>
        <w:fldChar w:fldCharType="begin"/>
      </w:r>
      <w:r>
        <w:instrText xml:space="preserve"> HYPERLINK \l "_Toc15396623" </w:instrText>
      </w:r>
      <w:r>
        <w:fldChar w:fldCharType="separate"/>
      </w:r>
      <w:r>
        <w:rPr>
          <w:rFonts w:hint="eastAsia" w:ascii="仿宋" w:hAnsi="仿宋" w:eastAsia="仿宋"/>
          <w:sz w:val="28"/>
          <w:szCs w:val="28"/>
        </w:rPr>
        <w:t>财政拨款支出决算明细表（政府经济分类科目）</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_Toc15396623 \h </w:instrText>
      </w:r>
      <w:r>
        <w:rPr>
          <w:rFonts w:ascii="仿宋" w:hAnsi="仿宋" w:eastAsia="仿宋"/>
          <w:sz w:val="28"/>
          <w:szCs w:val="28"/>
        </w:rPr>
        <w:fldChar w:fldCharType="separate"/>
      </w:r>
      <w:r>
        <w:rPr>
          <w:rFonts w:ascii="仿宋" w:hAnsi="仿宋" w:eastAsia="仿宋"/>
          <w:sz w:val="28"/>
          <w:szCs w:val="28"/>
        </w:rPr>
        <w:t>33</w:t>
      </w:r>
      <w:r>
        <w:rPr>
          <w:rFonts w:ascii="仿宋" w:hAnsi="仿宋" w:eastAsia="仿宋"/>
          <w:sz w:val="28"/>
          <w:szCs w:val="28"/>
        </w:rPr>
        <w:fldChar w:fldCharType="end"/>
      </w:r>
      <w:r>
        <w:rPr>
          <w:rFonts w:ascii="仿宋" w:hAnsi="仿宋" w:eastAsia="仿宋"/>
          <w:sz w:val="28"/>
          <w:szCs w:val="28"/>
        </w:rPr>
        <w:fldChar w:fldCharType="end"/>
      </w:r>
    </w:p>
    <w:p>
      <w:pPr>
        <w:pStyle w:val="7"/>
        <w:rPr>
          <w:rFonts w:ascii="仿宋" w:hAnsi="仿宋" w:eastAsia="仿宋" w:cstheme="minorBidi"/>
          <w:sz w:val="28"/>
          <w:szCs w:val="28"/>
        </w:rPr>
      </w:pPr>
      <w:r>
        <w:rPr>
          <w:rFonts w:hint="eastAsia" w:ascii="仿宋" w:hAnsi="仿宋" w:eastAsia="仿宋"/>
          <w:sz w:val="28"/>
          <w:szCs w:val="28"/>
        </w:rPr>
        <w:t>六、</w:t>
      </w:r>
      <w:r>
        <w:fldChar w:fldCharType="begin"/>
      </w:r>
      <w:r>
        <w:instrText xml:space="preserve"> HYPERLINK \l "_Toc15396624" </w:instrText>
      </w:r>
      <w:r>
        <w:fldChar w:fldCharType="separate"/>
      </w:r>
      <w:r>
        <w:rPr>
          <w:rStyle w:val="12"/>
          <w:rFonts w:hint="eastAsia" w:ascii="仿宋" w:hAnsi="仿宋" w:eastAsia="仿宋"/>
          <w:sz w:val="28"/>
          <w:szCs w:val="28"/>
        </w:rPr>
        <w:t>一般公共预算财政拨款支出决算表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_Toc15396624 \h </w:instrText>
      </w:r>
      <w:r>
        <w:rPr>
          <w:rFonts w:ascii="仿宋" w:hAnsi="仿宋" w:eastAsia="仿宋"/>
          <w:sz w:val="28"/>
          <w:szCs w:val="28"/>
        </w:rPr>
        <w:fldChar w:fldCharType="separate"/>
      </w:r>
      <w:r>
        <w:rPr>
          <w:rFonts w:ascii="仿宋" w:hAnsi="仿宋" w:eastAsia="仿宋"/>
          <w:sz w:val="28"/>
          <w:szCs w:val="28"/>
        </w:rPr>
        <w:t>33</w:t>
      </w:r>
      <w:r>
        <w:rPr>
          <w:rFonts w:ascii="仿宋" w:hAnsi="仿宋" w:eastAsia="仿宋"/>
          <w:sz w:val="28"/>
          <w:szCs w:val="28"/>
        </w:rPr>
        <w:fldChar w:fldCharType="end"/>
      </w:r>
      <w:r>
        <w:rPr>
          <w:rFonts w:ascii="仿宋" w:hAnsi="仿宋" w:eastAsia="仿宋"/>
          <w:sz w:val="28"/>
          <w:szCs w:val="28"/>
        </w:rPr>
        <w:fldChar w:fldCharType="end"/>
      </w:r>
    </w:p>
    <w:p>
      <w:pPr>
        <w:pStyle w:val="7"/>
        <w:rPr>
          <w:rFonts w:ascii="仿宋" w:hAnsi="仿宋" w:eastAsia="仿宋" w:cstheme="minorBidi"/>
          <w:sz w:val="28"/>
          <w:szCs w:val="28"/>
        </w:rPr>
      </w:pPr>
      <w:r>
        <w:rPr>
          <w:rFonts w:hint="eastAsia" w:ascii="仿宋" w:hAnsi="仿宋" w:eastAsia="仿宋"/>
          <w:sz w:val="28"/>
          <w:szCs w:val="28"/>
        </w:rPr>
        <w:t>七、</w:t>
      </w:r>
      <w:r>
        <w:fldChar w:fldCharType="begin"/>
      </w:r>
      <w:r>
        <w:instrText xml:space="preserve"> HYPERLINK \l "_Toc15396625" </w:instrText>
      </w:r>
      <w:r>
        <w:fldChar w:fldCharType="separate"/>
      </w:r>
      <w:r>
        <w:rPr>
          <w:rStyle w:val="12"/>
          <w:rFonts w:hint="eastAsia" w:ascii="仿宋" w:hAnsi="仿宋" w:eastAsia="仿宋"/>
          <w:sz w:val="28"/>
          <w:szCs w:val="28"/>
        </w:rPr>
        <w:t>一般公共预算财政拨款支出决算明细表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_Toc15396625 \h </w:instrText>
      </w:r>
      <w:r>
        <w:rPr>
          <w:rFonts w:ascii="仿宋" w:hAnsi="仿宋" w:eastAsia="仿宋"/>
          <w:sz w:val="28"/>
          <w:szCs w:val="28"/>
        </w:rPr>
        <w:fldChar w:fldCharType="separate"/>
      </w:r>
      <w:r>
        <w:rPr>
          <w:rFonts w:ascii="仿宋" w:hAnsi="仿宋" w:eastAsia="仿宋"/>
          <w:sz w:val="28"/>
          <w:szCs w:val="28"/>
        </w:rPr>
        <w:t>33</w:t>
      </w:r>
      <w:r>
        <w:rPr>
          <w:rFonts w:ascii="仿宋" w:hAnsi="仿宋" w:eastAsia="仿宋"/>
          <w:sz w:val="28"/>
          <w:szCs w:val="28"/>
        </w:rPr>
        <w:fldChar w:fldCharType="end"/>
      </w:r>
      <w:r>
        <w:rPr>
          <w:rFonts w:ascii="仿宋" w:hAnsi="仿宋" w:eastAsia="仿宋"/>
          <w:sz w:val="28"/>
          <w:szCs w:val="28"/>
        </w:rPr>
        <w:fldChar w:fldCharType="end"/>
      </w:r>
    </w:p>
    <w:p>
      <w:pPr>
        <w:pStyle w:val="7"/>
        <w:rPr>
          <w:rFonts w:ascii="仿宋" w:hAnsi="仿宋" w:eastAsia="仿宋" w:cstheme="minorBidi"/>
          <w:sz w:val="28"/>
          <w:szCs w:val="28"/>
        </w:rPr>
      </w:pPr>
      <w:r>
        <w:rPr>
          <w:rFonts w:hint="eastAsia" w:ascii="仿宋" w:hAnsi="仿宋" w:eastAsia="仿宋"/>
          <w:sz w:val="28"/>
          <w:szCs w:val="28"/>
        </w:rPr>
        <w:t>八、</w:t>
      </w:r>
      <w:r>
        <w:fldChar w:fldCharType="begin"/>
      </w:r>
      <w:r>
        <w:instrText xml:space="preserve"> HYPERLINK \l "_Toc15396626" </w:instrText>
      </w:r>
      <w:r>
        <w:fldChar w:fldCharType="separate"/>
      </w:r>
      <w:r>
        <w:rPr>
          <w:rStyle w:val="12"/>
          <w:rFonts w:hint="eastAsia" w:ascii="仿宋" w:hAnsi="仿宋" w:eastAsia="仿宋"/>
          <w:sz w:val="28"/>
          <w:szCs w:val="28"/>
        </w:rPr>
        <w:t>一般公共预算财政拨款基本支出决算表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_Toc15396626 \h </w:instrText>
      </w:r>
      <w:r>
        <w:rPr>
          <w:rFonts w:ascii="仿宋" w:hAnsi="仿宋" w:eastAsia="仿宋"/>
          <w:sz w:val="28"/>
          <w:szCs w:val="28"/>
        </w:rPr>
        <w:fldChar w:fldCharType="separate"/>
      </w:r>
      <w:r>
        <w:rPr>
          <w:rFonts w:ascii="仿宋" w:hAnsi="仿宋" w:eastAsia="仿宋"/>
          <w:sz w:val="28"/>
          <w:szCs w:val="28"/>
        </w:rPr>
        <w:t>33</w:t>
      </w:r>
      <w:r>
        <w:rPr>
          <w:rFonts w:ascii="仿宋" w:hAnsi="仿宋" w:eastAsia="仿宋"/>
          <w:sz w:val="28"/>
          <w:szCs w:val="28"/>
        </w:rPr>
        <w:fldChar w:fldCharType="end"/>
      </w:r>
      <w:r>
        <w:rPr>
          <w:rFonts w:ascii="仿宋" w:hAnsi="仿宋" w:eastAsia="仿宋"/>
          <w:sz w:val="28"/>
          <w:szCs w:val="28"/>
        </w:rPr>
        <w:fldChar w:fldCharType="end"/>
      </w:r>
    </w:p>
    <w:p>
      <w:pPr>
        <w:pStyle w:val="7"/>
        <w:rPr>
          <w:rFonts w:ascii="仿宋" w:hAnsi="仿宋" w:eastAsia="仿宋" w:cstheme="minorBidi"/>
          <w:sz w:val="28"/>
          <w:szCs w:val="28"/>
        </w:rPr>
      </w:pPr>
      <w:r>
        <w:rPr>
          <w:rFonts w:hint="eastAsia" w:ascii="仿宋" w:hAnsi="仿宋" w:eastAsia="仿宋"/>
          <w:sz w:val="28"/>
          <w:szCs w:val="28"/>
        </w:rPr>
        <w:t>九、</w:t>
      </w:r>
      <w:r>
        <w:fldChar w:fldCharType="begin"/>
      </w:r>
      <w:r>
        <w:instrText xml:space="preserve"> HYPERLINK \l "_Toc15396627" </w:instrText>
      </w:r>
      <w:r>
        <w:fldChar w:fldCharType="separate"/>
      </w:r>
      <w:r>
        <w:rPr>
          <w:rStyle w:val="12"/>
          <w:rFonts w:hint="eastAsia" w:ascii="仿宋" w:hAnsi="仿宋" w:eastAsia="仿宋"/>
          <w:sz w:val="28"/>
          <w:szCs w:val="28"/>
        </w:rPr>
        <w:t>一般公共预算财政拨款项目支出决算表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_Toc15396627 \h </w:instrText>
      </w:r>
      <w:r>
        <w:rPr>
          <w:rFonts w:ascii="仿宋" w:hAnsi="仿宋" w:eastAsia="仿宋"/>
          <w:sz w:val="28"/>
          <w:szCs w:val="28"/>
        </w:rPr>
        <w:fldChar w:fldCharType="separate"/>
      </w:r>
      <w:r>
        <w:rPr>
          <w:rFonts w:ascii="仿宋" w:hAnsi="仿宋" w:eastAsia="仿宋"/>
          <w:sz w:val="28"/>
          <w:szCs w:val="28"/>
        </w:rPr>
        <w:t>33</w:t>
      </w:r>
      <w:r>
        <w:rPr>
          <w:rFonts w:ascii="仿宋" w:hAnsi="仿宋" w:eastAsia="仿宋"/>
          <w:sz w:val="28"/>
          <w:szCs w:val="28"/>
        </w:rPr>
        <w:fldChar w:fldCharType="end"/>
      </w:r>
      <w:r>
        <w:rPr>
          <w:rFonts w:ascii="仿宋" w:hAnsi="仿宋" w:eastAsia="仿宋"/>
          <w:sz w:val="28"/>
          <w:szCs w:val="28"/>
        </w:rPr>
        <w:fldChar w:fldCharType="end"/>
      </w:r>
    </w:p>
    <w:p>
      <w:pPr>
        <w:pStyle w:val="7"/>
        <w:rPr>
          <w:rFonts w:ascii="仿宋" w:hAnsi="仿宋" w:eastAsia="仿宋" w:cstheme="minorBidi"/>
          <w:sz w:val="28"/>
          <w:szCs w:val="28"/>
        </w:rPr>
      </w:pPr>
      <w:r>
        <w:rPr>
          <w:rFonts w:hint="eastAsia" w:ascii="仿宋" w:hAnsi="仿宋" w:eastAsia="仿宋"/>
          <w:sz w:val="28"/>
          <w:szCs w:val="28"/>
        </w:rPr>
        <w:t>十、</w:t>
      </w:r>
      <w:r>
        <w:fldChar w:fldCharType="begin"/>
      </w:r>
      <w:r>
        <w:instrText xml:space="preserve"> HYPERLINK \l "_Toc15396628" </w:instrText>
      </w:r>
      <w:r>
        <w:fldChar w:fldCharType="separate"/>
      </w:r>
      <w:r>
        <w:rPr>
          <w:rStyle w:val="12"/>
          <w:rFonts w:hint="eastAsia" w:ascii="仿宋" w:hAnsi="仿宋" w:eastAsia="仿宋"/>
          <w:sz w:val="28"/>
          <w:szCs w:val="28"/>
        </w:rPr>
        <w:t>一般公共预算财政拨款“三公”经费支出决算表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_Toc15396628 \h </w:instrText>
      </w:r>
      <w:r>
        <w:rPr>
          <w:rFonts w:ascii="仿宋" w:hAnsi="仿宋" w:eastAsia="仿宋"/>
          <w:sz w:val="28"/>
          <w:szCs w:val="28"/>
        </w:rPr>
        <w:fldChar w:fldCharType="separate"/>
      </w:r>
      <w:r>
        <w:rPr>
          <w:rFonts w:ascii="仿宋" w:hAnsi="仿宋" w:eastAsia="仿宋"/>
          <w:sz w:val="28"/>
          <w:szCs w:val="28"/>
        </w:rPr>
        <w:t>33</w:t>
      </w:r>
      <w:r>
        <w:rPr>
          <w:rFonts w:ascii="仿宋" w:hAnsi="仿宋" w:eastAsia="仿宋"/>
          <w:sz w:val="28"/>
          <w:szCs w:val="28"/>
        </w:rPr>
        <w:fldChar w:fldCharType="end"/>
      </w:r>
      <w:r>
        <w:rPr>
          <w:rFonts w:ascii="仿宋" w:hAnsi="仿宋" w:eastAsia="仿宋"/>
          <w:sz w:val="28"/>
          <w:szCs w:val="28"/>
        </w:rPr>
        <w:fldChar w:fldCharType="end"/>
      </w:r>
    </w:p>
    <w:p>
      <w:pPr>
        <w:pStyle w:val="7"/>
        <w:rPr>
          <w:rFonts w:ascii="仿宋" w:hAnsi="仿宋" w:eastAsia="仿宋" w:cstheme="minorBidi"/>
          <w:sz w:val="28"/>
          <w:szCs w:val="28"/>
        </w:rPr>
      </w:pPr>
      <w:r>
        <w:rPr>
          <w:rFonts w:hint="eastAsia" w:ascii="仿宋" w:hAnsi="仿宋" w:eastAsia="仿宋"/>
          <w:sz w:val="28"/>
          <w:szCs w:val="28"/>
        </w:rPr>
        <w:t>十一、</w:t>
      </w:r>
      <w:r>
        <w:fldChar w:fldCharType="begin"/>
      </w:r>
      <w:r>
        <w:instrText xml:space="preserve"> HYPERLINK \l "_Toc15396629" </w:instrText>
      </w:r>
      <w:r>
        <w:fldChar w:fldCharType="separate"/>
      </w:r>
      <w:r>
        <w:rPr>
          <w:rStyle w:val="12"/>
          <w:rFonts w:hint="eastAsia" w:ascii="仿宋" w:hAnsi="仿宋" w:eastAsia="仿宋"/>
          <w:sz w:val="28"/>
          <w:szCs w:val="28"/>
        </w:rPr>
        <w:t>政府性基金预算财政拨款收入支出决算表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_Toc15396629 \h </w:instrText>
      </w:r>
      <w:r>
        <w:rPr>
          <w:rFonts w:ascii="仿宋" w:hAnsi="仿宋" w:eastAsia="仿宋"/>
          <w:sz w:val="28"/>
          <w:szCs w:val="28"/>
        </w:rPr>
        <w:fldChar w:fldCharType="separate"/>
      </w:r>
      <w:r>
        <w:rPr>
          <w:rFonts w:ascii="仿宋" w:hAnsi="仿宋" w:eastAsia="仿宋"/>
          <w:sz w:val="28"/>
          <w:szCs w:val="28"/>
        </w:rPr>
        <w:t>33</w:t>
      </w:r>
      <w:r>
        <w:rPr>
          <w:rFonts w:ascii="仿宋" w:hAnsi="仿宋" w:eastAsia="仿宋"/>
          <w:sz w:val="28"/>
          <w:szCs w:val="28"/>
        </w:rPr>
        <w:fldChar w:fldCharType="end"/>
      </w:r>
      <w:r>
        <w:rPr>
          <w:rFonts w:ascii="仿宋" w:hAnsi="仿宋" w:eastAsia="仿宋"/>
          <w:sz w:val="28"/>
          <w:szCs w:val="28"/>
        </w:rPr>
        <w:fldChar w:fldCharType="end"/>
      </w:r>
    </w:p>
    <w:p>
      <w:pPr>
        <w:pStyle w:val="7"/>
        <w:rPr>
          <w:rFonts w:ascii="仿宋" w:hAnsi="仿宋" w:eastAsia="仿宋" w:cstheme="minorBidi"/>
          <w:sz w:val="28"/>
          <w:szCs w:val="28"/>
        </w:rPr>
      </w:pPr>
      <w:r>
        <w:rPr>
          <w:rFonts w:hint="eastAsia" w:ascii="仿宋" w:hAnsi="仿宋" w:eastAsia="仿宋"/>
          <w:sz w:val="28"/>
          <w:szCs w:val="28"/>
        </w:rPr>
        <w:t>十二、</w:t>
      </w:r>
      <w:r>
        <w:fldChar w:fldCharType="begin"/>
      </w:r>
      <w:r>
        <w:instrText xml:space="preserve"> HYPERLINK \l "_Toc15396630" </w:instrText>
      </w:r>
      <w:r>
        <w:fldChar w:fldCharType="separate"/>
      </w:r>
      <w:r>
        <w:rPr>
          <w:rStyle w:val="12"/>
          <w:rFonts w:hint="eastAsia" w:ascii="仿宋" w:hAnsi="仿宋" w:eastAsia="仿宋"/>
          <w:sz w:val="28"/>
          <w:szCs w:val="28"/>
        </w:rPr>
        <w:t>政府性基金预算财政拨款“三公”经费支出决算表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_Toc15396630 \h </w:instrText>
      </w:r>
      <w:r>
        <w:rPr>
          <w:rFonts w:ascii="仿宋" w:hAnsi="仿宋" w:eastAsia="仿宋"/>
          <w:sz w:val="28"/>
          <w:szCs w:val="28"/>
        </w:rPr>
        <w:fldChar w:fldCharType="separate"/>
      </w:r>
      <w:r>
        <w:rPr>
          <w:rFonts w:ascii="仿宋" w:hAnsi="仿宋" w:eastAsia="仿宋"/>
          <w:sz w:val="28"/>
          <w:szCs w:val="28"/>
        </w:rPr>
        <w:t>33</w:t>
      </w:r>
      <w:r>
        <w:rPr>
          <w:rFonts w:ascii="仿宋" w:hAnsi="仿宋" w:eastAsia="仿宋"/>
          <w:sz w:val="28"/>
          <w:szCs w:val="28"/>
        </w:rPr>
        <w:fldChar w:fldCharType="end"/>
      </w:r>
      <w:r>
        <w:rPr>
          <w:rFonts w:ascii="仿宋" w:hAnsi="仿宋" w:eastAsia="仿宋"/>
          <w:sz w:val="28"/>
          <w:szCs w:val="28"/>
        </w:rPr>
        <w:fldChar w:fldCharType="end"/>
      </w:r>
    </w:p>
    <w:p>
      <w:pPr>
        <w:pStyle w:val="7"/>
        <w:rPr>
          <w:rFonts w:ascii="仿宋" w:hAnsi="仿宋" w:eastAsia="仿宋" w:cstheme="minorBidi"/>
          <w:sz w:val="24"/>
        </w:rPr>
      </w:pPr>
      <w:r>
        <w:rPr>
          <w:rFonts w:hint="eastAsia" w:ascii="仿宋" w:hAnsi="仿宋" w:eastAsia="仿宋"/>
          <w:sz w:val="28"/>
          <w:szCs w:val="28"/>
        </w:rPr>
        <w:t>十三、</w:t>
      </w:r>
      <w:r>
        <w:fldChar w:fldCharType="begin"/>
      </w:r>
      <w:r>
        <w:instrText xml:space="preserve"> HYPERLINK \l "_Toc15396631" </w:instrText>
      </w:r>
      <w:r>
        <w:fldChar w:fldCharType="separate"/>
      </w:r>
      <w:r>
        <w:rPr>
          <w:rStyle w:val="12"/>
          <w:rFonts w:hint="eastAsia" w:ascii="仿宋" w:hAnsi="仿宋" w:eastAsia="仿宋"/>
          <w:sz w:val="28"/>
          <w:szCs w:val="28"/>
        </w:rPr>
        <w:t>国有资本经营预算支出决算表</w:t>
      </w:r>
      <w:r>
        <w:rPr>
          <w:rFonts w:ascii="仿宋" w:hAnsi="仿宋" w:eastAsia="仿宋"/>
          <w:sz w:val="28"/>
          <w:szCs w:val="28"/>
        </w:rPr>
        <w:tab/>
      </w:r>
      <w:r>
        <w:rPr>
          <w:rFonts w:ascii="仿宋" w:hAnsi="仿宋" w:eastAsia="仿宋"/>
          <w:sz w:val="28"/>
          <w:szCs w:val="28"/>
        </w:rPr>
        <w:fldChar w:fldCharType="begin"/>
      </w:r>
      <w:r>
        <w:rPr>
          <w:rFonts w:ascii="仿宋" w:hAnsi="仿宋" w:eastAsia="仿宋"/>
          <w:sz w:val="28"/>
          <w:szCs w:val="28"/>
        </w:rPr>
        <w:instrText xml:space="preserve"> PAGEREF _Toc15396631 \h </w:instrText>
      </w:r>
      <w:r>
        <w:rPr>
          <w:rFonts w:ascii="仿宋" w:hAnsi="仿宋" w:eastAsia="仿宋"/>
          <w:sz w:val="28"/>
          <w:szCs w:val="28"/>
        </w:rPr>
        <w:fldChar w:fldCharType="separate"/>
      </w:r>
      <w:r>
        <w:rPr>
          <w:rFonts w:ascii="仿宋" w:hAnsi="仿宋" w:eastAsia="仿宋"/>
          <w:sz w:val="28"/>
          <w:szCs w:val="28"/>
        </w:rPr>
        <w:t>33</w:t>
      </w:r>
      <w:r>
        <w:rPr>
          <w:rFonts w:ascii="仿宋" w:hAnsi="仿宋" w:eastAsia="仿宋"/>
          <w:sz w:val="28"/>
          <w:szCs w:val="28"/>
        </w:rPr>
        <w:fldChar w:fldCharType="end"/>
      </w:r>
      <w:r>
        <w:rPr>
          <w:rFonts w:ascii="仿宋" w:hAnsi="仿宋" w:eastAsia="仿宋"/>
          <w:sz w:val="28"/>
          <w:szCs w:val="28"/>
        </w:rPr>
        <w:fldChar w:fldCharType="end"/>
      </w:r>
    </w:p>
    <w:p>
      <w:pPr>
        <w:widowControl/>
        <w:jc w:val="left"/>
        <w:rPr>
          <w:rFonts w:ascii="仿宋" w:hAnsi="仿宋" w:eastAsia="仿宋"/>
          <w:color w:val="000000"/>
          <w:sz w:val="24"/>
        </w:rPr>
      </w:pPr>
      <w:r>
        <w:rPr>
          <w:rFonts w:ascii="仿宋" w:hAnsi="仿宋" w:eastAsia="仿宋"/>
          <w:color w:val="000000"/>
          <w:sz w:val="24"/>
        </w:rPr>
        <w:fldChar w:fldCharType="end"/>
      </w:r>
    </w:p>
    <w:p>
      <w:pPr>
        <w:widowControl/>
        <w:jc w:val="left"/>
        <w:rPr>
          <w:rFonts w:ascii="黑体" w:hAnsi="黑体" w:eastAsia="黑体"/>
          <w:bCs/>
          <w:kern w:val="44"/>
          <w:sz w:val="44"/>
          <w:szCs w:val="44"/>
        </w:rPr>
      </w:pPr>
      <w:bookmarkStart w:id="12" w:name="_Toc15396599"/>
      <w:bookmarkStart w:id="13" w:name="_Toc15377196"/>
      <w:r>
        <w:rPr>
          <w:rFonts w:ascii="黑体" w:hAnsi="黑体" w:eastAsia="黑体"/>
          <w:b/>
        </w:rPr>
        <w:br w:type="page"/>
      </w:r>
    </w:p>
    <w:p>
      <w:pPr>
        <w:pStyle w:val="2"/>
        <w:spacing w:before="0" w:after="0"/>
        <w:jc w:val="center"/>
        <w:rPr>
          <w:rStyle w:val="14"/>
          <w:rFonts w:ascii="黑体" w:hAnsi="黑体" w:eastAsia="黑体"/>
          <w:b w:val="0"/>
          <w:bCs w:val="0"/>
        </w:rPr>
      </w:pPr>
      <w:r>
        <w:rPr>
          <w:rFonts w:hint="eastAsia" w:ascii="黑体" w:hAnsi="黑体" w:eastAsia="黑体"/>
          <w:b w:val="0"/>
        </w:rPr>
        <w:t xml:space="preserve">第一部分 </w:t>
      </w:r>
      <w:r>
        <w:rPr>
          <w:rStyle w:val="14"/>
          <w:rFonts w:hint="eastAsia" w:ascii="黑体" w:hAnsi="黑体" w:eastAsia="黑体"/>
          <w:b w:val="0"/>
          <w:bCs w:val="0"/>
        </w:rPr>
        <w:t>部门概况</w:t>
      </w:r>
      <w:bookmarkEnd w:id="12"/>
      <w:bookmarkEnd w:id="13"/>
    </w:p>
    <w:p>
      <w:pPr>
        <w:pStyle w:val="3"/>
        <w:spacing w:before="0" w:after="0"/>
        <w:rPr>
          <w:rStyle w:val="15"/>
          <w:rFonts w:ascii="仿宋" w:hAnsi="仿宋" w:eastAsia="仿宋"/>
          <w:b w:val="0"/>
          <w:bCs w:val="0"/>
        </w:rPr>
      </w:pPr>
      <w:bookmarkStart w:id="14" w:name="_Toc15377197"/>
      <w:bookmarkStart w:id="15" w:name="_Toc15396600"/>
      <w:r>
        <w:rPr>
          <w:rFonts w:hint="eastAsia" w:ascii="黑体" w:hAnsi="黑体" w:eastAsia="黑体"/>
          <w:b w:val="0"/>
          <w:color w:val="000000"/>
        </w:rPr>
        <w:t>一、基</w:t>
      </w:r>
      <w:r>
        <w:rPr>
          <w:rStyle w:val="15"/>
          <w:rFonts w:hint="eastAsia" w:ascii="黑体" w:hAnsi="黑体" w:eastAsia="黑体"/>
          <w:b w:val="0"/>
          <w:bCs w:val="0"/>
        </w:rPr>
        <w:t>本职能及主要工作</w:t>
      </w:r>
      <w:bookmarkEnd w:id="14"/>
      <w:bookmarkEnd w:id="15"/>
    </w:p>
    <w:p>
      <w:pPr>
        <w:pStyle w:val="4"/>
        <w:adjustRightInd w:val="0"/>
        <w:snapToGrid w:val="0"/>
        <w:spacing w:beforeLines="0" w:line="600" w:lineRule="exact"/>
        <w:ind w:firstLine="672" w:firstLineChars="210"/>
        <w:outlineLvl w:val="2"/>
        <w:rPr>
          <w:rFonts w:ascii="仿宋" w:hAnsi="仿宋" w:eastAsia="仿宋"/>
          <w:bCs/>
          <w:color w:val="000000"/>
          <w:sz w:val="32"/>
          <w:szCs w:val="32"/>
        </w:rPr>
      </w:pPr>
      <w:bookmarkStart w:id="16" w:name="_Toc15377198"/>
      <w:bookmarkStart w:id="17" w:name="_Toc15378445"/>
      <w:r>
        <w:rPr>
          <w:rFonts w:hint="eastAsia" w:ascii="仿宋" w:hAnsi="仿宋" w:eastAsia="仿宋"/>
          <w:bCs/>
          <w:color w:val="000000"/>
          <w:sz w:val="32"/>
          <w:szCs w:val="32"/>
        </w:rPr>
        <w:t>（一）主要职能。</w:t>
      </w:r>
    </w:p>
    <w:p>
      <w:pPr>
        <w:pStyle w:val="4"/>
        <w:adjustRightInd w:val="0"/>
        <w:snapToGrid w:val="0"/>
        <w:spacing w:beforeLines="0" w:line="580" w:lineRule="exact"/>
        <w:ind w:firstLine="640" w:firstLineChars="200"/>
        <w:rPr>
          <w:bCs/>
          <w:sz w:val="32"/>
          <w:szCs w:val="32"/>
        </w:rPr>
      </w:pPr>
      <w:r>
        <w:rPr>
          <w:rFonts w:hint="eastAsia"/>
          <w:bCs/>
          <w:sz w:val="32"/>
          <w:szCs w:val="32"/>
        </w:rPr>
        <w:t>1.根据党的基本理论、基本路线、基本纲领和工运方针，围绕党和国家工作大局，贯彻执行全国工会代表大会、执委会和省、市、区工会代表大会、全委会确定的方针任务和作出的决议。</w:t>
      </w:r>
    </w:p>
    <w:p>
      <w:pPr>
        <w:pStyle w:val="4"/>
        <w:adjustRightInd w:val="0"/>
        <w:snapToGrid w:val="0"/>
        <w:spacing w:beforeLines="0" w:line="580" w:lineRule="exact"/>
        <w:ind w:firstLine="640" w:firstLineChars="200"/>
        <w:rPr>
          <w:bCs/>
          <w:sz w:val="32"/>
          <w:szCs w:val="32"/>
        </w:rPr>
      </w:pPr>
      <w:r>
        <w:rPr>
          <w:rFonts w:hint="eastAsia"/>
          <w:bCs/>
          <w:sz w:val="32"/>
          <w:szCs w:val="32"/>
        </w:rPr>
        <w:t>2.依照法律和《中国工会章程》，组织和指导各级工会坚定不移地推动党的全心全意依靠工人阶级根本指导方针的贯彻落实，进一步突出和履行维护职能。</w:t>
      </w:r>
    </w:p>
    <w:p>
      <w:pPr>
        <w:pStyle w:val="4"/>
        <w:adjustRightInd w:val="0"/>
        <w:snapToGrid w:val="0"/>
        <w:spacing w:beforeLines="0" w:line="580" w:lineRule="exact"/>
        <w:ind w:firstLine="640" w:firstLineChars="200"/>
        <w:rPr>
          <w:bCs/>
          <w:sz w:val="32"/>
          <w:szCs w:val="32"/>
        </w:rPr>
      </w:pPr>
      <w:r>
        <w:rPr>
          <w:rFonts w:hint="eastAsia"/>
          <w:bCs/>
          <w:sz w:val="32"/>
          <w:szCs w:val="32"/>
        </w:rPr>
        <w:t>3.对有关职工合法权益的重大问题进行调查研究，向区委、区政府和市总工会反映群众的思想、愿望和要求，提出意见和建议；对侵犯职工合法权益重大事件进行调查并提出处理意见；参与职工重大伤亡事故的调查处理。</w:t>
      </w:r>
      <w:bookmarkStart w:id="75" w:name="_GoBack"/>
      <w:bookmarkEnd w:id="75"/>
    </w:p>
    <w:p>
      <w:pPr>
        <w:pStyle w:val="4"/>
        <w:adjustRightInd w:val="0"/>
        <w:snapToGrid w:val="0"/>
        <w:spacing w:beforeLines="0" w:line="580" w:lineRule="exact"/>
        <w:ind w:firstLine="640" w:firstLineChars="200"/>
        <w:rPr>
          <w:bCs/>
          <w:sz w:val="32"/>
          <w:szCs w:val="32"/>
        </w:rPr>
      </w:pPr>
      <w:r>
        <w:rPr>
          <w:rFonts w:hint="eastAsia"/>
          <w:bCs/>
          <w:sz w:val="32"/>
          <w:szCs w:val="32"/>
        </w:rPr>
        <w:t>4.负责工会理论政策的研究，研究制定工会的组织制度和民主制度，监督检查《中国工会章程》的贯彻执行；研究指导工会的自身改革和建议；指导各级工会组织职工开展以职工代表大会为基本制度的民主选举、民主决策、民主管理和民主监督工作，推动建立平等协商、集体合同制度和监督保证机制的工作；指导基层工会协助党政不断提高职工的思想道德和科学文化技术素质。</w:t>
      </w:r>
    </w:p>
    <w:p>
      <w:pPr>
        <w:pStyle w:val="4"/>
        <w:adjustRightInd w:val="0"/>
        <w:snapToGrid w:val="0"/>
        <w:spacing w:beforeLines="0" w:line="580" w:lineRule="exact"/>
        <w:ind w:firstLine="640" w:firstLineChars="200"/>
        <w:rPr>
          <w:bCs/>
          <w:sz w:val="32"/>
          <w:szCs w:val="32"/>
        </w:rPr>
      </w:pPr>
      <w:r>
        <w:rPr>
          <w:rFonts w:hint="eastAsia"/>
          <w:bCs/>
          <w:sz w:val="32"/>
          <w:szCs w:val="32"/>
        </w:rPr>
        <w:t>5.协助区有关部门、企业党委（总支、支部）管理工会和工会干部；监督、检查区总工会机关及直属单位党员干部廉政情况；研究制定工会干部的管理制度和培训规划，负责全区各乡镇、街办、各系统工会、企事业工会干部的培训工作。</w:t>
      </w:r>
    </w:p>
    <w:p>
      <w:pPr>
        <w:pStyle w:val="4"/>
        <w:adjustRightInd w:val="0"/>
        <w:snapToGrid w:val="0"/>
        <w:spacing w:beforeLines="0" w:line="580" w:lineRule="exact"/>
        <w:ind w:firstLine="640" w:firstLineChars="200"/>
        <w:rPr>
          <w:bCs/>
          <w:sz w:val="32"/>
          <w:szCs w:val="32"/>
        </w:rPr>
      </w:pPr>
      <w:r>
        <w:rPr>
          <w:rFonts w:hint="eastAsia"/>
          <w:bCs/>
          <w:sz w:val="32"/>
          <w:szCs w:val="32"/>
        </w:rPr>
        <w:t>6.协助区政府做好市劳动模范的推荐、评选工作；协助全部、省总、市总做好在我区的全国、全省、全市劳动模范、“五一”劳动奖章、奖状获得者的推荐和管理工作。</w:t>
      </w:r>
    </w:p>
    <w:p>
      <w:pPr>
        <w:pStyle w:val="4"/>
        <w:adjustRightInd w:val="0"/>
        <w:snapToGrid w:val="0"/>
        <w:spacing w:beforeLines="0" w:line="580" w:lineRule="exact"/>
        <w:ind w:firstLine="640" w:firstLineChars="200"/>
        <w:rPr>
          <w:bCs/>
          <w:sz w:val="32"/>
          <w:szCs w:val="32"/>
        </w:rPr>
      </w:pPr>
      <w:r>
        <w:rPr>
          <w:rFonts w:hint="eastAsia"/>
          <w:bCs/>
          <w:sz w:val="32"/>
          <w:szCs w:val="32"/>
        </w:rPr>
        <w:t>7.负责区工会经费和工会资产的管理、审查、审计工作；研究、制定工会组织兴办职工劳动福利事业的有关制度和规定；负责对全区工会职工劳动福利事业的指导、协调工作。</w:t>
      </w:r>
    </w:p>
    <w:p>
      <w:pPr>
        <w:pStyle w:val="4"/>
        <w:adjustRightInd w:val="0"/>
        <w:snapToGrid w:val="0"/>
        <w:spacing w:beforeLines="0" w:line="580" w:lineRule="exact"/>
        <w:ind w:firstLine="640" w:firstLineChars="200"/>
        <w:rPr>
          <w:bCs/>
          <w:sz w:val="32"/>
          <w:szCs w:val="32"/>
        </w:rPr>
      </w:pPr>
      <w:r>
        <w:rPr>
          <w:rFonts w:hint="eastAsia"/>
          <w:bCs/>
          <w:sz w:val="32"/>
          <w:szCs w:val="32"/>
        </w:rPr>
        <w:t>8.承办区委、区政府和市总工会交办的其他事项。</w:t>
      </w:r>
    </w:p>
    <w:bookmarkEnd w:id="16"/>
    <w:bookmarkEnd w:id="17"/>
    <w:p>
      <w:pPr>
        <w:pStyle w:val="4"/>
        <w:adjustRightInd w:val="0"/>
        <w:snapToGrid w:val="0"/>
        <w:spacing w:beforeLines="0" w:line="600" w:lineRule="exact"/>
        <w:ind w:firstLine="672" w:firstLineChars="210"/>
        <w:outlineLvl w:val="2"/>
        <w:rPr>
          <w:rFonts w:ascii="仿宋" w:hAnsi="仿宋" w:eastAsia="仿宋"/>
          <w:bCs/>
          <w:color w:val="000000"/>
          <w:sz w:val="32"/>
          <w:szCs w:val="32"/>
        </w:rPr>
      </w:pPr>
      <w:bookmarkStart w:id="18" w:name="_Toc15377199"/>
      <w:bookmarkStart w:id="19" w:name="_Toc15378446"/>
      <w:r>
        <w:rPr>
          <w:rFonts w:hint="eastAsia" w:ascii="仿宋" w:hAnsi="仿宋" w:eastAsia="仿宋"/>
          <w:bCs/>
          <w:color w:val="000000"/>
          <w:sz w:val="32"/>
          <w:szCs w:val="32"/>
        </w:rPr>
        <w:t>（二）</w:t>
      </w:r>
      <w:r>
        <w:rPr>
          <w:rFonts w:ascii="仿宋" w:hAnsi="仿宋" w:eastAsia="仿宋"/>
          <w:bCs/>
          <w:color w:val="000000"/>
          <w:sz w:val="32"/>
          <w:szCs w:val="32"/>
        </w:rPr>
        <w:t>201</w:t>
      </w:r>
      <w:r>
        <w:rPr>
          <w:rFonts w:hint="eastAsia" w:ascii="仿宋" w:hAnsi="仿宋" w:eastAsia="仿宋"/>
          <w:bCs/>
          <w:color w:val="000000"/>
          <w:sz w:val="32"/>
          <w:szCs w:val="32"/>
        </w:rPr>
        <w:t>8年重点工作完成情况。</w:t>
      </w:r>
      <w:bookmarkEnd w:id="18"/>
      <w:bookmarkEnd w:id="19"/>
    </w:p>
    <w:p>
      <w:pPr>
        <w:spacing w:line="570" w:lineRule="exact"/>
        <w:ind w:firstLine="640" w:firstLineChars="200"/>
        <w:outlineLvl w:val="0"/>
        <w:rPr>
          <w:rFonts w:ascii="黑体" w:hAnsi="黑体" w:eastAsia="黑体"/>
          <w:sz w:val="32"/>
          <w:szCs w:val="32"/>
        </w:rPr>
      </w:pPr>
      <w:r>
        <w:rPr>
          <w:rFonts w:hint="eastAsia" w:ascii="黑体" w:hAnsi="黑体" w:eastAsia="黑体"/>
          <w:sz w:val="32"/>
          <w:szCs w:val="32"/>
        </w:rPr>
        <w:t>1.认真学习贯彻党的十九大精神，始终保持正确政治方向</w:t>
      </w:r>
    </w:p>
    <w:p>
      <w:pPr>
        <w:spacing w:line="570" w:lineRule="exact"/>
        <w:ind w:firstLine="643" w:firstLineChars="200"/>
        <w:rPr>
          <w:rFonts w:ascii="仿宋_GB2312" w:eastAsia="仿宋_GB2312"/>
          <w:sz w:val="32"/>
          <w:szCs w:val="32"/>
        </w:rPr>
      </w:pPr>
      <w:r>
        <w:rPr>
          <w:rFonts w:ascii="仿宋_GB2312" w:eastAsia="仿宋_GB2312"/>
          <w:b/>
          <w:sz w:val="32"/>
          <w:szCs w:val="32"/>
        </w:rPr>
        <w:softHyphen/>
      </w:r>
      <w:r>
        <w:rPr>
          <w:rFonts w:hint="eastAsia" w:ascii="楷体_GB2312" w:eastAsia="楷体_GB2312"/>
          <w:b/>
          <w:sz w:val="32"/>
          <w:szCs w:val="32"/>
        </w:rPr>
        <w:t>坚持不懈强化理论武装。</w:t>
      </w:r>
      <w:r>
        <w:rPr>
          <w:rFonts w:hint="eastAsia" w:ascii="仿宋_GB2312" w:eastAsia="仿宋_GB2312"/>
          <w:sz w:val="32"/>
          <w:szCs w:val="32"/>
        </w:rPr>
        <w:t>通过举办工会领导干部专题辅导、知识竞赛等方式，认真学习贯彻党的十九大精神、习近平总书记对四川工作系列重要指示精神、省委十一届三次全会、市委十届五次全会、区委十一届四次全会精神及中国工会十七大精神，引导广大工会干部不断增强“四个意识”、坚定“四个自信”，坚决做到“两个维护”，进一步提高工会干部政治站位和工作能力，切实担负起引导职工听党话、跟党走的政治责任。</w:t>
      </w:r>
    </w:p>
    <w:p>
      <w:pPr>
        <w:spacing w:line="570" w:lineRule="exact"/>
        <w:ind w:firstLine="643" w:firstLineChars="200"/>
        <w:rPr>
          <w:rFonts w:ascii="仿宋_GB2312" w:eastAsia="仿宋_GB2312"/>
          <w:sz w:val="32"/>
          <w:szCs w:val="32"/>
        </w:rPr>
      </w:pPr>
      <w:r>
        <w:rPr>
          <w:rFonts w:hint="eastAsia" w:ascii="楷体_GB2312" w:eastAsia="楷体_GB2312"/>
          <w:b/>
          <w:sz w:val="32"/>
          <w:szCs w:val="32"/>
        </w:rPr>
        <w:t>加强工会干部教育培训。</w:t>
      </w:r>
      <w:r>
        <w:rPr>
          <w:rFonts w:hint="eastAsia" w:ascii="仿宋_GB2312" w:eastAsia="仿宋_GB2312"/>
          <w:sz w:val="32"/>
          <w:szCs w:val="32"/>
        </w:rPr>
        <w:t>搭建“仁和区新时代职工讲习所”学习平台，组织干部职工学习《工会法》《工会章程》《四川省集体合同条例》等法律法规和业务知识。积极组织工会干部先后参加省市总工会举办的工会保障、法律、财务、经审等内容培训班；举办3期基层工会主席、财务、经审人员培训，培训工会干部</w:t>
      </w:r>
      <w:r>
        <w:rPr>
          <w:rFonts w:ascii="仿宋_GB2312" w:eastAsia="仿宋_GB2312"/>
          <w:sz w:val="32"/>
          <w:szCs w:val="32"/>
        </w:rPr>
        <w:t>300</w:t>
      </w:r>
      <w:r>
        <w:rPr>
          <w:rFonts w:hint="eastAsia" w:ascii="仿宋_GB2312" w:eastAsia="仿宋_GB2312"/>
          <w:sz w:val="32"/>
          <w:szCs w:val="32"/>
        </w:rPr>
        <w:t>余人（次），有效提高了工会干部的理论水平和业务能力。</w:t>
      </w:r>
      <w:r>
        <w:rPr>
          <w:rFonts w:eastAsia="仿宋_GB2312"/>
          <w:sz w:val="32"/>
          <w:szCs w:val="32"/>
        </w:rPr>
        <w:t> </w:t>
      </w:r>
    </w:p>
    <w:p>
      <w:pPr>
        <w:spacing w:line="570" w:lineRule="exact"/>
        <w:ind w:firstLine="643" w:firstLineChars="200"/>
        <w:rPr>
          <w:rFonts w:ascii="仿宋_GB2312" w:eastAsia="仿宋_GB2312"/>
          <w:sz w:val="32"/>
          <w:szCs w:val="32"/>
        </w:rPr>
      </w:pPr>
      <w:r>
        <w:rPr>
          <w:rFonts w:hint="eastAsia" w:ascii="楷体_GB2312" w:eastAsia="楷体_GB2312"/>
          <w:b/>
          <w:sz w:val="32"/>
          <w:szCs w:val="32"/>
        </w:rPr>
        <w:t>突出工会舆论阵地作用。</w:t>
      </w:r>
      <w:r>
        <w:rPr>
          <w:rFonts w:hint="eastAsia" w:ascii="仿宋_GB2312" w:eastAsia="仿宋_GB2312"/>
          <w:sz w:val="32"/>
          <w:szCs w:val="32"/>
        </w:rPr>
        <w:t>定期分析研判职工思想意识形态领域形势，有针对性地做好舆论引导工作。充分利用网络、微信、</w:t>
      </w:r>
      <w:r>
        <w:rPr>
          <w:rFonts w:ascii="仿宋_GB2312" w:eastAsia="仿宋_GB2312"/>
          <w:sz w:val="32"/>
          <w:szCs w:val="32"/>
        </w:rPr>
        <w:t>QQ</w:t>
      </w:r>
      <w:r>
        <w:rPr>
          <w:rFonts w:hint="eastAsia" w:ascii="仿宋_GB2312" w:eastAsia="仿宋_GB2312"/>
          <w:sz w:val="32"/>
          <w:szCs w:val="32"/>
        </w:rPr>
        <w:t>等新媒体，及时、有效、适势地宣传劳模、攀枝花工匠精神，通过微信公众平台、政务网推送工会信息40余条，不断传播工会声音，培育和践行社会主义核心价值观，加强职工群众思想引领。</w:t>
      </w:r>
      <w:r>
        <w:rPr>
          <w:rFonts w:eastAsia="仿宋_GB2312"/>
          <w:sz w:val="32"/>
          <w:szCs w:val="32"/>
        </w:rPr>
        <w:t> </w:t>
      </w:r>
    </w:p>
    <w:p>
      <w:pPr>
        <w:spacing w:line="570" w:lineRule="exact"/>
        <w:ind w:firstLine="640" w:firstLineChars="200"/>
        <w:outlineLvl w:val="0"/>
        <w:rPr>
          <w:rFonts w:ascii="黑体" w:hAnsi="黑体" w:eastAsia="黑体"/>
          <w:sz w:val="32"/>
          <w:szCs w:val="32"/>
        </w:rPr>
      </w:pPr>
      <w:r>
        <w:rPr>
          <w:rFonts w:hint="eastAsia" w:ascii="黑体" w:hAnsi="黑体" w:eastAsia="黑体"/>
          <w:sz w:val="32"/>
          <w:szCs w:val="32"/>
        </w:rPr>
        <w:t>2.服务发展大局，建功立业活动扎实开展</w:t>
      </w:r>
    </w:p>
    <w:p>
      <w:pPr>
        <w:spacing w:line="570" w:lineRule="exact"/>
        <w:ind w:firstLine="643" w:firstLineChars="200"/>
        <w:rPr>
          <w:rFonts w:ascii="仿宋_GB2312" w:eastAsia="仿宋_GB2312"/>
          <w:sz w:val="32"/>
          <w:szCs w:val="32"/>
        </w:rPr>
      </w:pPr>
      <w:r>
        <w:rPr>
          <w:rFonts w:hint="eastAsia" w:ascii="楷体_GB2312" w:eastAsia="楷体_GB2312"/>
          <w:b/>
          <w:sz w:val="32"/>
          <w:szCs w:val="32"/>
        </w:rPr>
        <w:t>不断深化劳动技能竞赛。</w:t>
      </w:r>
      <w:r>
        <w:rPr>
          <w:rFonts w:hint="eastAsia" w:ascii="仿宋_GB2312" w:eastAsia="仿宋_GB2312"/>
          <w:sz w:val="32"/>
          <w:szCs w:val="32"/>
        </w:rPr>
        <w:t>创建“吴志丹安全生产劳模工作室”，充分发挥“工人先锋号”、“劳模创新工作室”引领示范作用，在企事业单位广泛开展技术革新、发明创造、合理化建议等职工技术创新活动，并推荐上报了便携式车用警示灯、多功能路灯等</w:t>
      </w:r>
      <w:r>
        <w:rPr>
          <w:rFonts w:ascii="仿宋_GB2312" w:eastAsia="仿宋_GB2312"/>
          <w:sz w:val="32"/>
          <w:szCs w:val="32"/>
        </w:rPr>
        <w:t>8</w:t>
      </w:r>
      <w:r>
        <w:rPr>
          <w:rFonts w:hint="eastAsia" w:ascii="仿宋_GB2312" w:eastAsia="仿宋_GB2312"/>
          <w:sz w:val="32"/>
          <w:szCs w:val="32"/>
        </w:rPr>
        <w:t>项职工优秀技术创新成果。</w:t>
      </w:r>
      <w:r>
        <w:rPr>
          <w:rFonts w:eastAsia="仿宋_GB2312"/>
          <w:sz w:val="32"/>
          <w:szCs w:val="32"/>
        </w:rPr>
        <w:t> </w:t>
      </w:r>
      <w:r>
        <w:rPr>
          <w:rFonts w:hint="eastAsia" w:ascii="仿宋_GB2312" w:eastAsia="仿宋_GB2312"/>
          <w:sz w:val="32"/>
          <w:szCs w:val="32"/>
        </w:rPr>
        <w:t>组织</w:t>
      </w:r>
      <w:r>
        <w:rPr>
          <w:rFonts w:ascii="仿宋_GB2312" w:eastAsia="仿宋_GB2312"/>
          <w:sz w:val="32"/>
          <w:szCs w:val="32"/>
        </w:rPr>
        <w:t>30</w:t>
      </w:r>
      <w:r>
        <w:rPr>
          <w:rFonts w:hint="eastAsia" w:ascii="仿宋_GB2312" w:eastAsia="仿宋_GB2312"/>
          <w:sz w:val="32"/>
          <w:szCs w:val="32"/>
        </w:rPr>
        <w:t>名职工参加“攀枝花工匠杯”百岗万人职工职业技能大赛；选拔3名选手参加“攀西地区百岗万人职工职业技能大赛”决赛；组织普隆达置地开发有限公司</w:t>
      </w:r>
      <w:r>
        <w:rPr>
          <w:rFonts w:ascii="仿宋_GB2312" w:eastAsia="仿宋_GB2312"/>
          <w:sz w:val="32"/>
          <w:szCs w:val="32"/>
        </w:rPr>
        <w:t>287</w:t>
      </w:r>
      <w:r>
        <w:rPr>
          <w:rFonts w:hint="eastAsia" w:ascii="仿宋_GB2312" w:eastAsia="仿宋_GB2312"/>
          <w:sz w:val="32"/>
          <w:szCs w:val="32"/>
        </w:rPr>
        <w:t>名职工参加全市工程进度、安全生产等重点工程劳动竞赛。</w:t>
      </w:r>
    </w:p>
    <w:p>
      <w:pPr>
        <w:spacing w:line="570" w:lineRule="exact"/>
        <w:ind w:firstLine="643" w:firstLineChars="200"/>
        <w:rPr>
          <w:rFonts w:ascii="仿宋_GB2312" w:eastAsia="仿宋_GB2312"/>
          <w:sz w:val="32"/>
          <w:szCs w:val="32"/>
        </w:rPr>
      </w:pPr>
      <w:r>
        <w:rPr>
          <w:rFonts w:hint="eastAsia" w:ascii="楷体_GB2312" w:eastAsia="楷体_GB2312"/>
          <w:b/>
          <w:sz w:val="32"/>
          <w:szCs w:val="32"/>
        </w:rPr>
        <w:t>持续推动素质提升工程。</w:t>
      </w:r>
      <w:r>
        <w:rPr>
          <w:rFonts w:hint="eastAsia" w:ascii="仿宋_GB2312" w:eastAsia="仿宋_GB2312"/>
          <w:sz w:val="32"/>
          <w:szCs w:val="32"/>
        </w:rPr>
        <w:t>深入实施“职工职业技能素质提升工程”，依托职工服务中心、农民工文化驿站等平台，深入开展“技能培训促就业” 行动，结合困难职工、农民工不同特点、意愿和市场需求，大力实施以就业技能、自主创业、基础素质为主要内容的“三大培训”，积极开展厨师、面点师等实用型技能培训</w:t>
      </w:r>
      <w:r>
        <w:rPr>
          <w:rFonts w:ascii="仿宋_GB2312" w:eastAsia="仿宋_GB2312"/>
          <w:sz w:val="32"/>
          <w:szCs w:val="32"/>
        </w:rPr>
        <w:t>3</w:t>
      </w:r>
      <w:r>
        <w:rPr>
          <w:rFonts w:hint="eastAsia" w:ascii="仿宋_GB2312" w:eastAsia="仿宋_GB2312"/>
          <w:sz w:val="32"/>
          <w:szCs w:val="32"/>
        </w:rPr>
        <w:t>期，免费培训下岗失业人员、农民工</w:t>
      </w:r>
      <w:r>
        <w:rPr>
          <w:rFonts w:ascii="仿宋_GB2312" w:eastAsia="仿宋_GB2312"/>
          <w:sz w:val="32"/>
          <w:szCs w:val="32"/>
        </w:rPr>
        <w:t>162</w:t>
      </w:r>
      <w:r>
        <w:rPr>
          <w:rFonts w:hint="eastAsia" w:ascii="仿宋_GB2312" w:eastAsia="仿宋_GB2312"/>
          <w:sz w:val="32"/>
          <w:szCs w:val="32"/>
        </w:rPr>
        <w:t>名。</w:t>
      </w:r>
    </w:p>
    <w:p>
      <w:pPr>
        <w:spacing w:line="570" w:lineRule="exact"/>
        <w:ind w:firstLine="643" w:firstLineChars="200"/>
        <w:rPr>
          <w:rFonts w:ascii="仿宋_GB2312" w:eastAsia="仿宋_GB2312"/>
          <w:sz w:val="32"/>
          <w:szCs w:val="32"/>
        </w:rPr>
      </w:pPr>
      <w:r>
        <w:rPr>
          <w:rFonts w:hint="eastAsia" w:ascii="楷体_GB2312" w:eastAsia="楷体_GB2312"/>
          <w:b/>
          <w:sz w:val="32"/>
          <w:szCs w:val="32"/>
        </w:rPr>
        <w:t>充分发挥劳模引领作用。</w:t>
      </w:r>
      <w:r>
        <w:rPr>
          <w:rFonts w:hint="eastAsia" w:ascii="仿宋_GB2312" w:eastAsia="仿宋_GB2312"/>
          <w:sz w:val="32"/>
          <w:szCs w:val="32"/>
        </w:rPr>
        <w:t>切实关心劳模生活，为</w:t>
      </w:r>
      <w:r>
        <w:rPr>
          <w:rFonts w:ascii="仿宋_GB2312" w:eastAsia="仿宋_GB2312"/>
          <w:sz w:val="32"/>
          <w:szCs w:val="32"/>
        </w:rPr>
        <w:t>141</w:t>
      </w:r>
      <w:r>
        <w:rPr>
          <w:rFonts w:hint="eastAsia" w:ascii="仿宋_GB2312" w:eastAsia="仿宋_GB2312"/>
          <w:sz w:val="32"/>
          <w:szCs w:val="32"/>
        </w:rPr>
        <w:t>名劳模发放“劳模三金”</w:t>
      </w:r>
      <w:r>
        <w:rPr>
          <w:rFonts w:ascii="仿宋_GB2312" w:eastAsia="仿宋_GB2312"/>
          <w:sz w:val="32"/>
          <w:szCs w:val="32"/>
        </w:rPr>
        <w:t>18.05</w:t>
      </w:r>
      <w:r>
        <w:rPr>
          <w:rFonts w:hint="eastAsia" w:ascii="仿宋_GB2312" w:eastAsia="仿宋_GB2312"/>
          <w:sz w:val="32"/>
          <w:szCs w:val="32"/>
        </w:rPr>
        <w:t>万元，为</w:t>
      </w:r>
      <w:r>
        <w:rPr>
          <w:rFonts w:ascii="仿宋_GB2312" w:eastAsia="仿宋_GB2312"/>
          <w:sz w:val="32"/>
          <w:szCs w:val="32"/>
        </w:rPr>
        <w:t>3</w:t>
      </w:r>
      <w:r>
        <w:rPr>
          <w:rFonts w:hint="eastAsia" w:ascii="仿宋_GB2312" w:eastAsia="仿宋_GB2312"/>
          <w:sz w:val="32"/>
          <w:szCs w:val="32"/>
        </w:rPr>
        <w:t>名困难女劳模送去慰问资金</w:t>
      </w:r>
      <w:r>
        <w:rPr>
          <w:rFonts w:ascii="仿宋_GB2312" w:eastAsia="仿宋_GB2312"/>
          <w:sz w:val="32"/>
          <w:szCs w:val="32"/>
        </w:rPr>
        <w:t>6000</w:t>
      </w:r>
      <w:r>
        <w:rPr>
          <w:rFonts w:hint="eastAsia" w:ascii="仿宋_GB2312" w:eastAsia="仿宋_GB2312"/>
          <w:sz w:val="32"/>
          <w:szCs w:val="32"/>
        </w:rPr>
        <w:t>元。加强劳模服务管理，组织</w:t>
      </w:r>
      <w:r>
        <w:rPr>
          <w:rFonts w:ascii="仿宋_GB2312" w:eastAsia="仿宋_GB2312"/>
          <w:sz w:val="32"/>
          <w:szCs w:val="32"/>
        </w:rPr>
        <w:t>70</w:t>
      </w:r>
      <w:r>
        <w:rPr>
          <w:rFonts w:hint="eastAsia" w:ascii="仿宋_GB2312" w:eastAsia="仿宋_GB2312"/>
          <w:sz w:val="32"/>
          <w:szCs w:val="32"/>
        </w:rPr>
        <w:t>名劳模参观攀枝花市“三线”建设博物馆，</w:t>
      </w:r>
      <w:r>
        <w:rPr>
          <w:rFonts w:hint="eastAsia" w:ascii="仿宋_GB2312" w:hAnsi="宋体" w:eastAsia="仿宋_GB2312"/>
          <w:sz w:val="32"/>
          <w:szCs w:val="32"/>
        </w:rPr>
        <w:t>开展唱红歌、党的十九大知识竞赛等活动，组织</w:t>
      </w:r>
      <w:r>
        <w:rPr>
          <w:rFonts w:hint="eastAsia" w:ascii="仿宋_GB2312" w:eastAsia="仿宋_GB2312"/>
          <w:sz w:val="32"/>
          <w:szCs w:val="32"/>
        </w:rPr>
        <w:t>3名省级劳模赴外休养，</w:t>
      </w:r>
      <w:r>
        <w:rPr>
          <w:rFonts w:ascii="仿宋_GB2312" w:eastAsia="仿宋_GB2312"/>
          <w:sz w:val="32"/>
          <w:szCs w:val="32"/>
        </w:rPr>
        <w:t>31</w:t>
      </w:r>
      <w:r>
        <w:rPr>
          <w:rFonts w:hint="eastAsia" w:ascii="仿宋_GB2312" w:eastAsia="仿宋_GB2312"/>
          <w:sz w:val="32"/>
          <w:szCs w:val="32"/>
        </w:rPr>
        <w:t>名省部级劳模参加免费体检。攀枝花市加勇石艺有限责任公司曹加勇被市总工会授予“攀枝花工匠”称号，并</w:t>
      </w:r>
      <w:r>
        <w:rPr>
          <w:rFonts w:hint="eastAsia" w:ascii="仿宋_GB2312" w:hAnsi="宋体" w:eastAsia="仿宋_GB2312"/>
          <w:sz w:val="32"/>
          <w:szCs w:val="32"/>
        </w:rPr>
        <w:t>出席市总第十次代表大会，彰显先进人物风采</w:t>
      </w:r>
      <w:r>
        <w:rPr>
          <w:rFonts w:hint="eastAsia" w:ascii="仿宋_GB2312" w:eastAsia="仿宋_GB2312"/>
          <w:sz w:val="32"/>
          <w:szCs w:val="32"/>
        </w:rPr>
        <w:t>；仁和区幼儿园郑旭红被市总工会授予“攀枝花市十佳最美劳动者”称号。大力宣传劳模精神，在全区不断营造 “劳动最光荣、劳动最崇高、劳动最伟大、劳动最美丽”的良好氛围。</w:t>
      </w:r>
      <w:r>
        <w:rPr>
          <w:rFonts w:eastAsia="仿宋_GB2312"/>
          <w:sz w:val="32"/>
          <w:szCs w:val="32"/>
        </w:rPr>
        <w:t> </w:t>
      </w:r>
    </w:p>
    <w:p>
      <w:pPr>
        <w:spacing w:line="570" w:lineRule="exact"/>
        <w:ind w:firstLine="640" w:firstLineChars="200"/>
        <w:outlineLvl w:val="0"/>
        <w:rPr>
          <w:rFonts w:ascii="黑体" w:hAnsi="黑体" w:eastAsia="黑体"/>
          <w:sz w:val="32"/>
          <w:szCs w:val="32"/>
        </w:rPr>
      </w:pPr>
      <w:r>
        <w:rPr>
          <w:rFonts w:hint="eastAsia" w:ascii="黑体" w:hAnsi="黑体" w:eastAsia="黑体"/>
          <w:sz w:val="32"/>
          <w:szCs w:val="32"/>
        </w:rPr>
        <w:t>3.切实维权服务，改革发展成果惠及更多职工</w:t>
      </w:r>
    </w:p>
    <w:p>
      <w:pPr>
        <w:spacing w:line="570" w:lineRule="exact"/>
        <w:ind w:firstLine="643" w:firstLineChars="200"/>
        <w:rPr>
          <w:rFonts w:ascii="仿宋_GB2312" w:eastAsia="仿宋_GB2312"/>
          <w:sz w:val="32"/>
          <w:szCs w:val="32"/>
        </w:rPr>
      </w:pPr>
      <w:r>
        <w:rPr>
          <w:rFonts w:hint="eastAsia" w:ascii="楷体_GB2312" w:eastAsia="楷体_GB2312"/>
          <w:b/>
          <w:sz w:val="32"/>
          <w:szCs w:val="32"/>
        </w:rPr>
        <w:t>扎实开展“四</w:t>
      </w:r>
      <w:r>
        <w:rPr>
          <w:rFonts w:hint="eastAsia" w:ascii="楷体_GB2312" w:hAnsi="宋体" w:eastAsia="楷体_GB2312" w:cs="宋体"/>
          <w:b/>
          <w:sz w:val="32"/>
          <w:szCs w:val="32"/>
        </w:rPr>
        <w:t>季</w:t>
      </w:r>
      <w:r>
        <w:rPr>
          <w:rFonts w:hint="eastAsia" w:ascii="楷体_GB2312" w:eastAsia="楷体_GB2312"/>
          <w:b/>
          <w:sz w:val="32"/>
          <w:szCs w:val="32"/>
        </w:rPr>
        <w:t>送”活动。</w:t>
      </w:r>
      <w:r>
        <w:rPr>
          <w:rFonts w:hint="eastAsia" w:ascii="仿宋_GB2312" w:eastAsia="仿宋_GB2312"/>
          <w:sz w:val="32"/>
          <w:szCs w:val="32"/>
        </w:rPr>
        <w:t>“两节”期间，走访慰问困难职工和劳模</w:t>
      </w:r>
      <w:r>
        <w:rPr>
          <w:rFonts w:ascii="仿宋_GB2312" w:eastAsia="仿宋_GB2312"/>
          <w:sz w:val="32"/>
          <w:szCs w:val="32"/>
        </w:rPr>
        <w:t>321</w:t>
      </w:r>
      <w:r>
        <w:rPr>
          <w:rFonts w:hint="eastAsia" w:ascii="仿宋_GB2312" w:eastAsia="仿宋_GB2312"/>
          <w:sz w:val="32"/>
          <w:szCs w:val="32"/>
        </w:rPr>
        <w:t>人，发放慰问金</w:t>
      </w:r>
      <w:r>
        <w:rPr>
          <w:rFonts w:ascii="仿宋_GB2312" w:eastAsia="仿宋_GB2312"/>
          <w:sz w:val="32"/>
          <w:szCs w:val="32"/>
        </w:rPr>
        <w:t>32.76</w:t>
      </w:r>
      <w:r>
        <w:rPr>
          <w:rFonts w:hint="eastAsia" w:ascii="仿宋_GB2312" w:eastAsia="仿宋_GB2312"/>
          <w:sz w:val="32"/>
          <w:szCs w:val="32"/>
        </w:rPr>
        <w:t>万元。联合相关部门举办专场招聘会</w:t>
      </w:r>
      <w:r>
        <w:rPr>
          <w:rFonts w:ascii="仿宋_GB2312" w:eastAsia="仿宋_GB2312"/>
          <w:sz w:val="32"/>
          <w:szCs w:val="32"/>
        </w:rPr>
        <w:t>3</w:t>
      </w:r>
      <w:r>
        <w:rPr>
          <w:rFonts w:hint="eastAsia" w:ascii="仿宋_GB2312" w:eastAsia="仿宋_GB2312"/>
          <w:sz w:val="32"/>
          <w:szCs w:val="32"/>
        </w:rPr>
        <w:t>场，提供就业服务</w:t>
      </w:r>
      <w:r>
        <w:rPr>
          <w:rFonts w:ascii="仿宋_GB2312" w:eastAsia="仿宋_GB2312"/>
          <w:sz w:val="32"/>
          <w:szCs w:val="32"/>
        </w:rPr>
        <w:t>677</w:t>
      </w:r>
      <w:r>
        <w:rPr>
          <w:rFonts w:hint="eastAsia" w:ascii="仿宋_GB2312" w:eastAsia="仿宋_GB2312"/>
          <w:sz w:val="32"/>
          <w:szCs w:val="32"/>
        </w:rPr>
        <w:t>人次，接待就业创业咨询</w:t>
      </w:r>
      <w:r>
        <w:rPr>
          <w:rFonts w:ascii="仿宋_GB2312" w:eastAsia="仿宋_GB2312"/>
          <w:sz w:val="32"/>
          <w:szCs w:val="32"/>
        </w:rPr>
        <w:t>200</w:t>
      </w:r>
      <w:r>
        <w:rPr>
          <w:rFonts w:hint="eastAsia" w:ascii="仿宋_GB2312" w:eastAsia="仿宋_GB2312"/>
          <w:sz w:val="32"/>
          <w:szCs w:val="32"/>
        </w:rPr>
        <w:t>余人次，发放宣传资料</w:t>
      </w:r>
      <w:r>
        <w:rPr>
          <w:rFonts w:ascii="仿宋_GB2312" w:eastAsia="仿宋_GB2312"/>
          <w:sz w:val="32"/>
          <w:szCs w:val="32"/>
        </w:rPr>
        <w:t>1000</w:t>
      </w:r>
      <w:r>
        <w:rPr>
          <w:rFonts w:hint="eastAsia" w:ascii="仿宋_GB2312" w:eastAsia="仿宋_GB2312"/>
          <w:sz w:val="32"/>
          <w:szCs w:val="32"/>
        </w:rPr>
        <w:t>余份。为</w:t>
      </w:r>
      <w:r>
        <w:rPr>
          <w:rFonts w:ascii="仿宋_GB2312" w:eastAsia="仿宋_GB2312"/>
          <w:sz w:val="32"/>
          <w:szCs w:val="32"/>
        </w:rPr>
        <w:t>2180</w:t>
      </w:r>
      <w:r>
        <w:rPr>
          <w:rFonts w:hint="eastAsia" w:ascii="仿宋_GB2312" w:eastAsia="仿宋_GB2312"/>
          <w:sz w:val="32"/>
          <w:szCs w:val="32"/>
        </w:rPr>
        <w:t>名高温一线职工，送去价值</w:t>
      </w:r>
      <w:r>
        <w:rPr>
          <w:rFonts w:ascii="仿宋_GB2312" w:eastAsia="仿宋_GB2312"/>
          <w:sz w:val="32"/>
          <w:szCs w:val="32"/>
        </w:rPr>
        <w:t>26</w:t>
      </w:r>
      <w:r>
        <w:rPr>
          <w:rFonts w:hint="eastAsia" w:ascii="仿宋_GB2312" w:eastAsia="仿宋_GB2312"/>
          <w:sz w:val="32"/>
          <w:szCs w:val="32"/>
        </w:rPr>
        <w:t>万元的防暑降温物品。资助困难职工家庭学生</w:t>
      </w:r>
      <w:r>
        <w:rPr>
          <w:rFonts w:ascii="仿宋_GB2312" w:eastAsia="仿宋_GB2312"/>
          <w:sz w:val="32"/>
          <w:szCs w:val="32"/>
        </w:rPr>
        <w:t>43</w:t>
      </w:r>
      <w:r>
        <w:rPr>
          <w:rFonts w:hint="eastAsia" w:ascii="仿宋_GB2312" w:eastAsia="仿宋_GB2312"/>
          <w:sz w:val="32"/>
          <w:szCs w:val="32"/>
        </w:rPr>
        <w:t>人，发放助学金</w:t>
      </w:r>
      <w:r>
        <w:rPr>
          <w:rFonts w:ascii="仿宋_GB2312" w:eastAsia="仿宋_GB2312"/>
          <w:sz w:val="32"/>
          <w:szCs w:val="32"/>
        </w:rPr>
        <w:t>15.62</w:t>
      </w:r>
      <w:r>
        <w:rPr>
          <w:rFonts w:hint="eastAsia" w:ascii="仿宋_GB2312" w:eastAsia="仿宋_GB2312"/>
          <w:sz w:val="32"/>
          <w:szCs w:val="32"/>
        </w:rPr>
        <w:t>万元。关爱困难职工子女和留守儿童，为大纸房村留守儿童送去价值</w:t>
      </w:r>
      <w:r>
        <w:rPr>
          <w:rFonts w:ascii="仿宋_GB2312" w:eastAsia="仿宋_GB2312"/>
          <w:sz w:val="32"/>
          <w:szCs w:val="32"/>
        </w:rPr>
        <w:t>2680</w:t>
      </w:r>
      <w:r>
        <w:rPr>
          <w:rFonts w:hint="eastAsia" w:ascii="仿宋_GB2312" w:eastAsia="仿宋_GB2312"/>
          <w:sz w:val="32"/>
          <w:szCs w:val="32"/>
        </w:rPr>
        <w:t>元课桌椅；为</w:t>
      </w:r>
      <w:r>
        <w:rPr>
          <w:rFonts w:ascii="仿宋_GB2312" w:eastAsia="仿宋_GB2312"/>
          <w:sz w:val="32"/>
          <w:szCs w:val="32"/>
        </w:rPr>
        <w:t>4</w:t>
      </w:r>
      <w:r>
        <w:rPr>
          <w:rFonts w:hint="eastAsia" w:ascii="仿宋_GB2312" w:eastAsia="仿宋_GB2312"/>
          <w:sz w:val="32"/>
          <w:szCs w:val="32"/>
        </w:rPr>
        <w:t>名困难职工子女免费提供“爱心家教”辅导。</w:t>
      </w:r>
    </w:p>
    <w:p>
      <w:pPr>
        <w:spacing w:line="570" w:lineRule="exact"/>
        <w:ind w:firstLine="643" w:firstLineChars="200"/>
        <w:rPr>
          <w:rFonts w:ascii="仿宋_GB2312" w:eastAsia="仿宋_GB2312"/>
          <w:b/>
          <w:sz w:val="32"/>
          <w:szCs w:val="32"/>
        </w:rPr>
      </w:pPr>
      <w:r>
        <w:rPr>
          <w:rFonts w:hint="eastAsia" w:ascii="楷体_GB2312" w:eastAsia="楷体_GB2312"/>
          <w:b/>
          <w:sz w:val="32"/>
          <w:szCs w:val="32"/>
        </w:rPr>
        <w:t>开展群众性安全生产活动。</w:t>
      </w:r>
      <w:r>
        <w:rPr>
          <w:rFonts w:hint="eastAsia" w:ascii="仿宋_GB2312" w:eastAsia="仿宋_GB2312"/>
          <w:sz w:val="32"/>
          <w:szCs w:val="32"/>
        </w:rPr>
        <w:t>深入开展“安康杯”竞赛活动，影响力和覆盖面不断扩大，全区</w:t>
      </w:r>
      <w:r>
        <w:rPr>
          <w:rFonts w:ascii="仿宋_GB2312" w:eastAsia="仿宋_GB2312"/>
          <w:sz w:val="32"/>
          <w:szCs w:val="32"/>
        </w:rPr>
        <w:t>166</w:t>
      </w:r>
      <w:r>
        <w:rPr>
          <w:rFonts w:hint="eastAsia" w:ascii="仿宋_GB2312" w:eastAsia="仿宋_GB2312"/>
          <w:sz w:val="32"/>
          <w:szCs w:val="32"/>
        </w:rPr>
        <w:t>个单位的</w:t>
      </w:r>
      <w:r>
        <w:rPr>
          <w:rFonts w:ascii="仿宋_GB2312" w:eastAsia="仿宋_GB2312"/>
          <w:sz w:val="32"/>
          <w:szCs w:val="32"/>
        </w:rPr>
        <w:t>12393</w:t>
      </w:r>
      <w:r>
        <w:rPr>
          <w:rFonts w:hint="eastAsia" w:ascii="仿宋_GB2312" w:eastAsia="仿宋_GB2312"/>
          <w:sz w:val="32"/>
          <w:szCs w:val="32"/>
        </w:rPr>
        <w:t>名职工参加“安康杯”竞赛活动。组织开展安全生产月宣传咨询、劳动保护、职业病防治有奖问答等活动</w:t>
      </w:r>
      <w:r>
        <w:rPr>
          <w:rFonts w:ascii="仿宋_GB2312" w:eastAsia="仿宋_GB2312"/>
          <w:sz w:val="32"/>
          <w:szCs w:val="32"/>
        </w:rPr>
        <w:t xml:space="preserve"> 16</w:t>
      </w:r>
      <w:r>
        <w:rPr>
          <w:rFonts w:hint="eastAsia" w:ascii="仿宋_GB2312" w:eastAsia="仿宋_GB2312"/>
          <w:sz w:val="32"/>
          <w:szCs w:val="32"/>
        </w:rPr>
        <w:t>场。进一步深化“群安”工作，</w:t>
      </w:r>
      <w:r>
        <w:rPr>
          <w:rFonts w:ascii="仿宋_GB2312" w:eastAsia="仿宋_GB2312"/>
          <w:sz w:val="32"/>
          <w:szCs w:val="32"/>
        </w:rPr>
        <w:t>35</w:t>
      </w:r>
      <w:r>
        <w:rPr>
          <w:rFonts w:hint="eastAsia" w:ascii="仿宋_GB2312" w:eastAsia="仿宋_GB2312"/>
          <w:sz w:val="32"/>
          <w:szCs w:val="32"/>
        </w:rPr>
        <w:t>家企业开展一线职工说安全。对煤炭、环保、物流等</w:t>
      </w:r>
      <w:r>
        <w:rPr>
          <w:rFonts w:ascii="仿宋_GB2312" w:eastAsia="仿宋_GB2312"/>
          <w:sz w:val="32"/>
          <w:szCs w:val="32"/>
        </w:rPr>
        <w:t>27</w:t>
      </w:r>
      <w:r>
        <w:rPr>
          <w:rFonts w:hint="eastAsia" w:ascii="仿宋_GB2312" w:eastAsia="仿宋_GB2312"/>
          <w:sz w:val="32"/>
          <w:szCs w:val="32"/>
        </w:rPr>
        <w:t>家企业进行专项督查，发现安全隐患</w:t>
      </w:r>
      <w:r>
        <w:rPr>
          <w:rFonts w:ascii="仿宋_GB2312" w:eastAsia="仿宋_GB2312"/>
          <w:sz w:val="32"/>
          <w:szCs w:val="32"/>
        </w:rPr>
        <w:t>147</w:t>
      </w:r>
      <w:r>
        <w:rPr>
          <w:rFonts w:hint="eastAsia" w:ascii="仿宋_GB2312" w:eastAsia="仿宋_GB2312"/>
          <w:sz w:val="32"/>
          <w:szCs w:val="32"/>
        </w:rPr>
        <w:t>条，提出整改意见</w:t>
      </w:r>
      <w:r>
        <w:rPr>
          <w:rFonts w:ascii="仿宋_GB2312" w:eastAsia="仿宋_GB2312"/>
          <w:sz w:val="32"/>
          <w:szCs w:val="32"/>
        </w:rPr>
        <w:t>147</w:t>
      </w:r>
      <w:r>
        <w:rPr>
          <w:rFonts w:hint="eastAsia" w:ascii="仿宋_GB2312" w:eastAsia="仿宋_GB2312"/>
          <w:sz w:val="32"/>
          <w:szCs w:val="32"/>
        </w:rPr>
        <w:t>条。参加煤矿复工复产验收</w:t>
      </w:r>
      <w:r>
        <w:rPr>
          <w:rFonts w:ascii="仿宋_GB2312" w:eastAsia="仿宋_GB2312"/>
          <w:sz w:val="32"/>
          <w:szCs w:val="32"/>
        </w:rPr>
        <w:t>11</w:t>
      </w:r>
      <w:r>
        <w:rPr>
          <w:rFonts w:hint="eastAsia" w:ascii="仿宋_GB2312" w:eastAsia="仿宋_GB2312"/>
          <w:sz w:val="32"/>
          <w:szCs w:val="32"/>
        </w:rPr>
        <w:t>家。</w:t>
      </w:r>
    </w:p>
    <w:p>
      <w:pPr>
        <w:spacing w:line="570" w:lineRule="exact"/>
        <w:ind w:firstLine="643" w:firstLineChars="200"/>
        <w:rPr>
          <w:rFonts w:ascii="仿宋_GB2312" w:eastAsia="仿宋_GB2312"/>
          <w:sz w:val="32"/>
          <w:szCs w:val="32"/>
        </w:rPr>
      </w:pPr>
      <w:r>
        <w:rPr>
          <w:rFonts w:hint="eastAsia" w:ascii="楷体_GB2312" w:eastAsia="楷体_GB2312"/>
          <w:b/>
          <w:sz w:val="32"/>
          <w:szCs w:val="32"/>
        </w:rPr>
        <w:t>深入推进法律监督服务。</w:t>
      </w:r>
      <w:r>
        <w:rPr>
          <w:rFonts w:hint="eastAsia" w:ascii="仿宋_GB2312" w:eastAsia="仿宋_GB2312"/>
          <w:sz w:val="32"/>
          <w:szCs w:val="32"/>
        </w:rPr>
        <w:t>充分发挥工会律师团作用，为职工、农民工提供法律咨询、诉讼等法律援助服务</w:t>
      </w:r>
      <w:r>
        <w:rPr>
          <w:rFonts w:ascii="仿宋_GB2312" w:eastAsia="仿宋_GB2312"/>
          <w:sz w:val="32"/>
          <w:szCs w:val="32"/>
        </w:rPr>
        <w:t>76</w:t>
      </w:r>
      <w:r>
        <w:rPr>
          <w:rFonts w:hint="eastAsia" w:ascii="仿宋_GB2312" w:eastAsia="仿宋_GB2312"/>
          <w:sz w:val="32"/>
          <w:szCs w:val="32"/>
        </w:rPr>
        <w:t>件（次）；开展送法进企业、法律风险体检6场次，覆盖职工</w:t>
      </w:r>
      <w:r>
        <w:rPr>
          <w:rFonts w:ascii="仿宋_GB2312" w:eastAsia="仿宋_GB2312"/>
          <w:sz w:val="32"/>
          <w:szCs w:val="32"/>
        </w:rPr>
        <w:t>1500</w:t>
      </w:r>
      <w:r>
        <w:rPr>
          <w:rFonts w:hint="eastAsia" w:ascii="仿宋_GB2312" w:eastAsia="仿宋_GB2312"/>
          <w:sz w:val="32"/>
          <w:szCs w:val="32"/>
        </w:rPr>
        <w:t>余人，发放宣传资料</w:t>
      </w:r>
      <w:r>
        <w:rPr>
          <w:rFonts w:ascii="仿宋_GB2312" w:eastAsia="仿宋_GB2312"/>
          <w:sz w:val="32"/>
          <w:szCs w:val="32"/>
        </w:rPr>
        <w:t>1500</w:t>
      </w:r>
      <w:r>
        <w:rPr>
          <w:rFonts w:hint="eastAsia" w:ascii="仿宋_GB2312" w:eastAsia="仿宋_GB2312"/>
          <w:sz w:val="32"/>
          <w:szCs w:val="32"/>
        </w:rPr>
        <w:t>余份；接待来信来访案件</w:t>
      </w:r>
      <w:r>
        <w:rPr>
          <w:rFonts w:ascii="仿宋_GB2312" w:eastAsia="仿宋_GB2312"/>
          <w:sz w:val="32"/>
          <w:szCs w:val="32"/>
        </w:rPr>
        <w:t>101</w:t>
      </w:r>
      <w:r>
        <w:rPr>
          <w:rFonts w:hint="eastAsia" w:ascii="仿宋_GB2312" w:eastAsia="仿宋_GB2312"/>
          <w:sz w:val="32"/>
          <w:szCs w:val="32"/>
        </w:rPr>
        <w:t>件，办结率</w:t>
      </w:r>
      <w:r>
        <w:rPr>
          <w:rFonts w:ascii="仿宋_GB2312" w:eastAsia="仿宋_GB2312"/>
          <w:sz w:val="32"/>
          <w:szCs w:val="32"/>
        </w:rPr>
        <w:t>100%</w:t>
      </w:r>
      <w:r>
        <w:rPr>
          <w:rFonts w:hint="eastAsia" w:ascii="仿宋_GB2312" w:eastAsia="仿宋_GB2312"/>
          <w:sz w:val="32"/>
          <w:szCs w:val="32"/>
        </w:rPr>
        <w:t>；参与仲裁</w:t>
      </w:r>
      <w:r>
        <w:rPr>
          <w:rFonts w:ascii="仿宋_GB2312" w:eastAsia="仿宋_GB2312"/>
          <w:sz w:val="32"/>
          <w:szCs w:val="32"/>
        </w:rPr>
        <w:t>3</w:t>
      </w:r>
      <w:r>
        <w:rPr>
          <w:rFonts w:hint="eastAsia" w:ascii="仿宋_GB2312" w:eastAsia="仿宋_GB2312"/>
          <w:sz w:val="32"/>
          <w:szCs w:val="32"/>
        </w:rPr>
        <w:t>起</w:t>
      </w:r>
      <w:r>
        <w:rPr>
          <w:rFonts w:ascii="仿宋_GB2312" w:eastAsia="仿宋_GB2312"/>
          <w:sz w:val="32"/>
          <w:szCs w:val="32"/>
        </w:rPr>
        <w:t>,</w:t>
      </w:r>
      <w:r>
        <w:rPr>
          <w:rFonts w:hint="eastAsia" w:ascii="仿宋_GB2312" w:eastAsia="仿宋_GB2312"/>
          <w:sz w:val="32"/>
          <w:szCs w:val="32"/>
        </w:rPr>
        <w:t>涉及职工122人；参与欠薪排查，涉及职工</w:t>
      </w:r>
      <w:r>
        <w:rPr>
          <w:rFonts w:ascii="仿宋_GB2312" w:eastAsia="仿宋_GB2312"/>
          <w:sz w:val="32"/>
          <w:szCs w:val="32"/>
        </w:rPr>
        <w:t>688</w:t>
      </w:r>
      <w:r>
        <w:rPr>
          <w:rFonts w:hint="eastAsia" w:ascii="仿宋_GB2312" w:eastAsia="仿宋_GB2312"/>
          <w:sz w:val="32"/>
          <w:szCs w:val="32"/>
        </w:rPr>
        <w:t>人。</w:t>
      </w:r>
    </w:p>
    <w:p>
      <w:pPr>
        <w:spacing w:line="570" w:lineRule="exact"/>
        <w:ind w:firstLine="643" w:firstLineChars="200"/>
        <w:rPr>
          <w:rFonts w:ascii="仿宋_GB2312" w:eastAsia="仿宋_GB2312"/>
          <w:sz w:val="32"/>
          <w:szCs w:val="32"/>
        </w:rPr>
      </w:pPr>
      <w:r>
        <w:rPr>
          <w:rFonts w:hint="eastAsia" w:ascii="楷体_GB2312" w:eastAsia="楷体_GB2312"/>
          <w:b/>
          <w:sz w:val="32"/>
          <w:szCs w:val="32"/>
        </w:rPr>
        <w:t>深化厂务公开民主管理。</w:t>
      </w:r>
      <w:r>
        <w:rPr>
          <w:rFonts w:hint="eastAsia" w:ascii="仿宋_GB2312" w:eastAsia="仿宋_GB2312"/>
          <w:sz w:val="32"/>
          <w:szCs w:val="32"/>
        </w:rPr>
        <w:t>牵头抓好《仁和区创新企事业单位民主管理制度专项改革方案》的贯彻落实，</w:t>
      </w:r>
      <w:r>
        <w:rPr>
          <w:rFonts w:ascii="仿宋_GB2312" w:eastAsia="仿宋_GB2312"/>
          <w:sz w:val="32"/>
          <w:szCs w:val="32"/>
        </w:rPr>
        <w:t xml:space="preserve"> 12</w:t>
      </w:r>
      <w:r>
        <w:rPr>
          <w:rFonts w:hint="eastAsia" w:ascii="仿宋_GB2312" w:eastAsia="仿宋_GB2312"/>
          <w:sz w:val="32"/>
          <w:szCs w:val="32"/>
        </w:rPr>
        <w:t>家企业报送优秀提案，</w:t>
      </w:r>
      <w:r>
        <w:rPr>
          <w:rFonts w:ascii="仿宋_GB2312" w:eastAsia="仿宋_GB2312"/>
          <w:sz w:val="32"/>
          <w:szCs w:val="32"/>
        </w:rPr>
        <w:t>287</w:t>
      </w:r>
      <w:r>
        <w:rPr>
          <w:rFonts w:hint="eastAsia" w:ascii="仿宋_GB2312" w:eastAsia="仿宋_GB2312"/>
          <w:sz w:val="32"/>
          <w:szCs w:val="32"/>
        </w:rPr>
        <w:t>家企业落实厂务公开民主管理制度，3家单位被选树为区级厂务公开民主管理示范单位。发出要约</w:t>
      </w:r>
      <w:r>
        <w:rPr>
          <w:rFonts w:ascii="仿宋_GB2312" w:eastAsia="仿宋_GB2312"/>
          <w:sz w:val="32"/>
          <w:szCs w:val="32"/>
        </w:rPr>
        <w:t>93</w:t>
      </w:r>
      <w:r>
        <w:rPr>
          <w:rFonts w:hint="eastAsia" w:ascii="仿宋_GB2312" w:eastAsia="仿宋_GB2312"/>
          <w:sz w:val="32"/>
          <w:szCs w:val="32"/>
        </w:rPr>
        <w:t>份，覆盖企业</w:t>
      </w:r>
      <w:r>
        <w:rPr>
          <w:rFonts w:ascii="仿宋_GB2312" w:eastAsia="仿宋_GB2312"/>
          <w:sz w:val="32"/>
          <w:szCs w:val="32"/>
        </w:rPr>
        <w:t>164</w:t>
      </w:r>
      <w:r>
        <w:rPr>
          <w:rFonts w:hint="eastAsia" w:ascii="仿宋_GB2312" w:eastAsia="仿宋_GB2312"/>
          <w:sz w:val="32"/>
          <w:szCs w:val="32"/>
        </w:rPr>
        <w:t>家、职工</w:t>
      </w:r>
      <w:r>
        <w:rPr>
          <w:rFonts w:ascii="仿宋_GB2312" w:eastAsia="仿宋_GB2312"/>
          <w:sz w:val="32"/>
          <w:szCs w:val="32"/>
        </w:rPr>
        <w:t>4230</w:t>
      </w:r>
      <w:r>
        <w:rPr>
          <w:rFonts w:hint="eastAsia" w:ascii="仿宋_GB2312" w:eastAsia="仿宋_GB2312"/>
          <w:sz w:val="32"/>
          <w:szCs w:val="32"/>
        </w:rPr>
        <w:t>人，全年签订工资集体合同</w:t>
      </w:r>
      <w:r>
        <w:rPr>
          <w:rFonts w:ascii="仿宋_GB2312" w:eastAsia="仿宋_GB2312"/>
          <w:sz w:val="32"/>
          <w:szCs w:val="32"/>
        </w:rPr>
        <w:t>64</w:t>
      </w:r>
      <w:r>
        <w:rPr>
          <w:rFonts w:hint="eastAsia" w:ascii="仿宋_GB2312" w:eastAsia="仿宋_GB2312"/>
          <w:sz w:val="32"/>
          <w:szCs w:val="32"/>
        </w:rPr>
        <w:t>份，覆盖企业</w:t>
      </w:r>
      <w:r>
        <w:rPr>
          <w:rFonts w:ascii="仿宋_GB2312" w:eastAsia="仿宋_GB2312"/>
          <w:sz w:val="32"/>
          <w:szCs w:val="32"/>
        </w:rPr>
        <w:t>184</w:t>
      </w:r>
      <w:r>
        <w:rPr>
          <w:rFonts w:hint="eastAsia" w:ascii="仿宋_GB2312" w:eastAsia="仿宋_GB2312"/>
          <w:sz w:val="32"/>
          <w:szCs w:val="32"/>
        </w:rPr>
        <w:t>家、职工</w:t>
      </w:r>
      <w:r>
        <w:rPr>
          <w:rFonts w:ascii="仿宋_GB2312" w:eastAsia="仿宋_GB2312"/>
          <w:sz w:val="32"/>
          <w:szCs w:val="32"/>
        </w:rPr>
        <w:t>1.5</w:t>
      </w:r>
      <w:r>
        <w:rPr>
          <w:rFonts w:hint="eastAsia" w:ascii="仿宋_GB2312" w:eastAsia="仿宋_GB2312"/>
          <w:sz w:val="32"/>
          <w:szCs w:val="32"/>
        </w:rPr>
        <w:t>万余人。</w:t>
      </w:r>
      <w:r>
        <w:rPr>
          <w:rFonts w:ascii="仿宋_GB2312" w:eastAsia="仿宋_GB2312"/>
          <w:sz w:val="32"/>
          <w:szCs w:val="32"/>
        </w:rPr>
        <w:t>2</w:t>
      </w:r>
      <w:r>
        <w:rPr>
          <w:rFonts w:hint="eastAsia" w:ascii="仿宋_GB2312" w:eastAsia="仿宋_GB2312"/>
          <w:sz w:val="32"/>
          <w:szCs w:val="32"/>
        </w:rPr>
        <w:t>家企业被评为攀枝花市“集体协商先进企业”。新签、续签职业病防治专项集体合同</w:t>
      </w:r>
      <w:r>
        <w:rPr>
          <w:rFonts w:ascii="仿宋_GB2312" w:eastAsia="仿宋_GB2312"/>
          <w:sz w:val="32"/>
          <w:szCs w:val="32"/>
        </w:rPr>
        <w:t>28</w:t>
      </w:r>
      <w:r>
        <w:rPr>
          <w:rFonts w:hint="eastAsia" w:ascii="仿宋_GB2312" w:eastAsia="仿宋_GB2312"/>
          <w:sz w:val="32"/>
          <w:szCs w:val="32"/>
        </w:rPr>
        <w:t>份。</w:t>
      </w:r>
    </w:p>
    <w:p>
      <w:pPr>
        <w:spacing w:line="570" w:lineRule="exact"/>
        <w:ind w:firstLine="643" w:firstLineChars="200"/>
        <w:rPr>
          <w:rFonts w:ascii="仿宋_GB2312" w:eastAsia="仿宋_GB2312"/>
          <w:sz w:val="32"/>
          <w:szCs w:val="32"/>
        </w:rPr>
      </w:pPr>
      <w:r>
        <w:rPr>
          <w:rFonts w:hint="eastAsia" w:ascii="楷体_GB2312" w:eastAsia="楷体_GB2312"/>
          <w:b/>
          <w:sz w:val="32"/>
          <w:szCs w:val="32"/>
        </w:rPr>
        <w:t>全力打好脱贫攻坚战。</w:t>
      </w:r>
      <w:r>
        <w:rPr>
          <w:rFonts w:hint="eastAsia" w:ascii="仿宋_GB2312" w:eastAsia="仿宋_GB2312"/>
          <w:sz w:val="32"/>
          <w:szCs w:val="32"/>
        </w:rPr>
        <w:t>入户走访摸底，建立帮扶台帐，结对帮扶</w:t>
      </w:r>
      <w:r>
        <w:rPr>
          <w:rFonts w:ascii="仿宋_GB2312" w:eastAsia="仿宋_GB2312"/>
          <w:sz w:val="32"/>
          <w:szCs w:val="32"/>
        </w:rPr>
        <w:t>25</w:t>
      </w:r>
      <w:r>
        <w:rPr>
          <w:rFonts w:hint="eastAsia" w:ascii="仿宋_GB2312" w:eastAsia="仿宋_GB2312"/>
          <w:sz w:val="32"/>
          <w:szCs w:val="32"/>
        </w:rPr>
        <w:t>户。开展感恩教育</w:t>
      </w:r>
      <w:r>
        <w:rPr>
          <w:rFonts w:ascii="仿宋_GB2312" w:eastAsia="仿宋_GB2312"/>
          <w:sz w:val="32"/>
          <w:szCs w:val="32"/>
        </w:rPr>
        <w:t>100</w:t>
      </w:r>
      <w:r>
        <w:rPr>
          <w:rFonts w:hint="eastAsia" w:ascii="仿宋_GB2312" w:eastAsia="仿宋_GB2312"/>
          <w:sz w:val="32"/>
          <w:szCs w:val="32"/>
        </w:rPr>
        <w:t>余人次，为</w:t>
      </w:r>
      <w:r>
        <w:rPr>
          <w:rFonts w:ascii="仿宋_GB2312" w:eastAsia="仿宋_GB2312"/>
          <w:sz w:val="32"/>
          <w:szCs w:val="32"/>
        </w:rPr>
        <w:t>6</w:t>
      </w:r>
      <w:r>
        <w:rPr>
          <w:rFonts w:hint="eastAsia" w:ascii="仿宋_GB2312" w:eastAsia="仿宋_GB2312"/>
          <w:sz w:val="32"/>
          <w:szCs w:val="32"/>
        </w:rPr>
        <w:t>户贫困户送去价值</w:t>
      </w:r>
      <w:r>
        <w:rPr>
          <w:rFonts w:ascii="仿宋_GB2312" w:eastAsia="仿宋_GB2312"/>
          <w:sz w:val="32"/>
          <w:szCs w:val="32"/>
        </w:rPr>
        <w:t>8240</w:t>
      </w:r>
      <w:r>
        <w:rPr>
          <w:rFonts w:hint="eastAsia" w:ascii="仿宋_GB2312" w:eastAsia="仿宋_GB2312"/>
          <w:sz w:val="32"/>
          <w:szCs w:val="32"/>
        </w:rPr>
        <w:t>元的帮扶物资，先后</w:t>
      </w:r>
      <w:r>
        <w:rPr>
          <w:rFonts w:ascii="仿宋_GB2312" w:eastAsia="仿宋_GB2312"/>
          <w:sz w:val="32"/>
          <w:szCs w:val="32"/>
        </w:rPr>
        <w:t>4</w:t>
      </w:r>
      <w:r>
        <w:rPr>
          <w:rFonts w:hint="eastAsia" w:ascii="仿宋_GB2312" w:eastAsia="仿宋_GB2312"/>
          <w:sz w:val="32"/>
          <w:szCs w:val="32"/>
        </w:rPr>
        <w:t>次帮助贫困户打扫卫生。“春节”“七一”走访慰问大竹村</w:t>
      </w:r>
      <w:r>
        <w:rPr>
          <w:rFonts w:ascii="仿宋_GB2312" w:eastAsia="仿宋_GB2312"/>
          <w:sz w:val="32"/>
          <w:szCs w:val="32"/>
        </w:rPr>
        <w:t>23</w:t>
      </w:r>
      <w:r>
        <w:rPr>
          <w:rFonts w:hint="eastAsia" w:ascii="仿宋_GB2312" w:eastAsia="仿宋_GB2312"/>
          <w:sz w:val="32"/>
          <w:szCs w:val="32"/>
        </w:rPr>
        <w:t>户贫困户、困难党员，送去价值</w:t>
      </w:r>
      <w:r>
        <w:rPr>
          <w:rFonts w:ascii="仿宋_GB2312" w:eastAsia="仿宋_GB2312"/>
          <w:sz w:val="32"/>
          <w:szCs w:val="32"/>
        </w:rPr>
        <w:t>9200</w:t>
      </w:r>
      <w:r>
        <w:rPr>
          <w:rFonts w:hint="eastAsia" w:ascii="仿宋_GB2312" w:eastAsia="仿宋_GB2312"/>
          <w:sz w:val="32"/>
          <w:szCs w:val="32"/>
        </w:rPr>
        <w:t>元的慰问款物。投入培训资金</w:t>
      </w:r>
      <w:r>
        <w:rPr>
          <w:rFonts w:ascii="仿宋_GB2312" w:eastAsia="仿宋_GB2312"/>
          <w:sz w:val="32"/>
          <w:szCs w:val="32"/>
        </w:rPr>
        <w:t>4.21</w:t>
      </w:r>
      <w:r>
        <w:rPr>
          <w:rFonts w:hint="eastAsia" w:ascii="仿宋_GB2312" w:eastAsia="仿宋_GB2312"/>
          <w:sz w:val="32"/>
          <w:szCs w:val="32"/>
        </w:rPr>
        <w:t>万元，举办芒果、蔬菜种植技术培训</w:t>
      </w:r>
      <w:r>
        <w:rPr>
          <w:rFonts w:ascii="仿宋_GB2312" w:eastAsia="仿宋_GB2312"/>
          <w:sz w:val="32"/>
          <w:szCs w:val="32"/>
        </w:rPr>
        <w:t>12</w:t>
      </w:r>
      <w:r>
        <w:rPr>
          <w:rFonts w:hint="eastAsia" w:ascii="仿宋_GB2312" w:eastAsia="仿宋_GB2312"/>
          <w:sz w:val="32"/>
          <w:szCs w:val="32"/>
        </w:rPr>
        <w:t>期。根据省、市总工会困难职工解困脱困工作相关要求，按照“一户一档、动态管理”原则，对全区</w:t>
      </w:r>
      <w:r>
        <w:rPr>
          <w:rFonts w:ascii="仿宋_GB2312" w:eastAsia="仿宋_GB2312"/>
          <w:sz w:val="32"/>
          <w:szCs w:val="32"/>
        </w:rPr>
        <w:t>93</w:t>
      </w:r>
      <w:r>
        <w:rPr>
          <w:rFonts w:hint="eastAsia" w:ascii="仿宋_GB2312" w:eastAsia="仿宋_GB2312"/>
          <w:sz w:val="32"/>
          <w:szCs w:val="32"/>
        </w:rPr>
        <w:t>名困难职工、农民工建档立卡，多措并举开展精准帮扶。</w:t>
      </w:r>
      <w:r>
        <w:rPr>
          <w:rFonts w:eastAsia="仿宋_GB2312"/>
          <w:sz w:val="32"/>
          <w:szCs w:val="32"/>
        </w:rPr>
        <w:t> </w:t>
      </w:r>
    </w:p>
    <w:p>
      <w:pPr>
        <w:spacing w:line="570" w:lineRule="exact"/>
        <w:ind w:firstLine="643" w:firstLineChars="200"/>
        <w:rPr>
          <w:rFonts w:ascii="仿宋_GB2312" w:eastAsia="仿宋_GB2312"/>
          <w:sz w:val="32"/>
          <w:szCs w:val="32"/>
        </w:rPr>
      </w:pPr>
      <w:r>
        <w:rPr>
          <w:rFonts w:hint="eastAsia" w:ascii="楷体_GB2312" w:eastAsia="楷体_GB2312"/>
          <w:b/>
          <w:sz w:val="32"/>
          <w:szCs w:val="32"/>
        </w:rPr>
        <w:t>深化普惠服务工作。</w:t>
      </w:r>
      <w:r>
        <w:rPr>
          <w:rFonts w:hint="eastAsia" w:ascii="仿宋_GB2312" w:eastAsia="仿宋_GB2312"/>
          <w:sz w:val="32"/>
          <w:szCs w:val="32"/>
        </w:rPr>
        <w:t>全面推动“一卡（花惠卡）、三平台（工会会员管理系统、工会会员实名制管理数据库、工会花惠卡微信公众号）”及</w:t>
      </w:r>
      <w:r>
        <w:rPr>
          <w:rFonts w:ascii="仿宋_GB2312" w:eastAsia="仿宋_GB2312"/>
          <w:sz w:val="32"/>
          <w:szCs w:val="32"/>
        </w:rPr>
        <w:t>34</w:t>
      </w:r>
      <w:r>
        <w:rPr>
          <w:rFonts w:hint="eastAsia" w:ascii="仿宋_GB2312" w:eastAsia="仿宋_GB2312"/>
          <w:sz w:val="32"/>
          <w:szCs w:val="32"/>
        </w:rPr>
        <w:t>家“</w:t>
      </w:r>
      <w:r>
        <w:rPr>
          <w:rFonts w:ascii="仿宋_GB2312" w:eastAsia="仿宋_GB2312"/>
          <w:sz w:val="32"/>
          <w:szCs w:val="32"/>
        </w:rPr>
        <w:t>V</w:t>
      </w:r>
      <w:r>
        <w:rPr>
          <w:rFonts w:hint="eastAsia" w:ascii="仿宋_GB2312" w:eastAsia="仿宋_GB2312"/>
          <w:sz w:val="32"/>
          <w:szCs w:val="32"/>
        </w:rPr>
        <w:t>馨小站”工会会员普惠服务体系建设，完成工会会员信息录入1.9万余条，办理花惠卡9951张（完成目标任务165%）。开展会员就医行、一元看电影、</w:t>
      </w:r>
      <w:r>
        <w:rPr>
          <w:rFonts w:ascii="仿宋_GB2312" w:eastAsia="仿宋_GB2312"/>
          <w:sz w:val="32"/>
          <w:szCs w:val="32"/>
        </w:rPr>
        <w:t>15</w:t>
      </w:r>
      <w:r>
        <w:rPr>
          <w:rFonts w:hint="eastAsia" w:ascii="仿宋_GB2312" w:eastAsia="仿宋_GB2312"/>
          <w:sz w:val="32"/>
          <w:szCs w:val="32"/>
        </w:rPr>
        <w:t>元洗车等普惠活动，受惠职工会员</w:t>
      </w:r>
      <w:r>
        <w:rPr>
          <w:rFonts w:ascii="仿宋_GB2312" w:eastAsia="仿宋_GB2312"/>
          <w:sz w:val="32"/>
          <w:szCs w:val="32"/>
        </w:rPr>
        <w:t>2.2</w:t>
      </w:r>
      <w:r>
        <w:rPr>
          <w:rFonts w:hint="eastAsia" w:ascii="仿宋_GB2312" w:eastAsia="仿宋_GB2312"/>
          <w:sz w:val="32"/>
          <w:szCs w:val="32"/>
        </w:rPr>
        <w:t>万人次，投入普惠资金</w:t>
      </w:r>
      <w:r>
        <w:rPr>
          <w:rFonts w:ascii="仿宋_GB2312" w:eastAsia="仿宋_GB2312"/>
          <w:sz w:val="32"/>
          <w:szCs w:val="32"/>
        </w:rPr>
        <w:t>50</w:t>
      </w:r>
      <w:r>
        <w:rPr>
          <w:rFonts w:hint="eastAsia" w:ascii="仿宋_GB2312" w:eastAsia="仿宋_GB2312"/>
          <w:sz w:val="32"/>
          <w:szCs w:val="32"/>
        </w:rPr>
        <w:t>余万元。为</w:t>
      </w:r>
      <w:r>
        <w:rPr>
          <w:rFonts w:ascii="仿宋_GB2312" w:eastAsia="仿宋_GB2312"/>
          <w:sz w:val="32"/>
          <w:szCs w:val="32"/>
        </w:rPr>
        <w:t>32</w:t>
      </w:r>
      <w:r>
        <w:rPr>
          <w:rFonts w:hint="eastAsia" w:ascii="仿宋_GB2312" w:eastAsia="仿宋_GB2312"/>
          <w:sz w:val="32"/>
          <w:szCs w:val="32"/>
        </w:rPr>
        <w:t>家企事业单位办理了住院医疗及女职工大病互助保险，为</w:t>
      </w:r>
      <w:r>
        <w:rPr>
          <w:rFonts w:ascii="仿宋_GB2312" w:eastAsia="仿宋_GB2312"/>
          <w:sz w:val="32"/>
          <w:szCs w:val="32"/>
        </w:rPr>
        <w:t xml:space="preserve">10 </w:t>
      </w:r>
      <w:r>
        <w:rPr>
          <w:rFonts w:hint="eastAsia" w:ascii="仿宋_GB2312" w:eastAsia="仿宋_GB2312"/>
          <w:sz w:val="32"/>
          <w:szCs w:val="32"/>
        </w:rPr>
        <w:t>名职工申请理赔金</w:t>
      </w:r>
      <w:r>
        <w:rPr>
          <w:rFonts w:ascii="仿宋_GB2312" w:eastAsia="仿宋_GB2312"/>
          <w:sz w:val="32"/>
          <w:szCs w:val="32"/>
        </w:rPr>
        <w:t>11.1</w:t>
      </w:r>
      <w:r>
        <w:rPr>
          <w:rFonts w:hint="eastAsia" w:ascii="仿宋_GB2312" w:eastAsia="仿宋_GB2312"/>
          <w:sz w:val="32"/>
          <w:szCs w:val="32"/>
        </w:rPr>
        <w:t>万元。</w:t>
      </w:r>
    </w:p>
    <w:p>
      <w:pPr>
        <w:spacing w:line="570" w:lineRule="exact"/>
        <w:ind w:firstLine="643" w:firstLineChars="200"/>
        <w:rPr>
          <w:rFonts w:ascii="仿宋_GB2312" w:eastAsia="仿宋_GB2312"/>
          <w:sz w:val="32"/>
          <w:szCs w:val="32"/>
        </w:rPr>
      </w:pPr>
      <w:r>
        <w:rPr>
          <w:rFonts w:hint="eastAsia" w:ascii="楷体_GB2312" w:eastAsia="楷体_GB2312"/>
          <w:b/>
          <w:sz w:val="32"/>
          <w:szCs w:val="32"/>
        </w:rPr>
        <w:t>职工文体活动异彩纷呈。</w:t>
      </w:r>
      <w:r>
        <w:rPr>
          <w:rFonts w:hint="eastAsia" w:ascii="仿宋_GB2312" w:eastAsia="仿宋_GB2312"/>
          <w:sz w:val="32"/>
          <w:szCs w:val="32"/>
        </w:rPr>
        <w:t>以“展职工风采·添文明新风”活动为载体，深入厂矿、车间、社区开展“创文”宣传活动，发放“创文”倡议书</w:t>
      </w:r>
      <w:r>
        <w:rPr>
          <w:rFonts w:ascii="仿宋_GB2312" w:eastAsia="仿宋_GB2312"/>
          <w:sz w:val="32"/>
          <w:szCs w:val="32"/>
        </w:rPr>
        <w:t>1</w:t>
      </w:r>
      <w:r>
        <w:rPr>
          <w:rFonts w:hint="eastAsia" w:ascii="仿宋_GB2312" w:eastAsia="仿宋_GB2312"/>
          <w:sz w:val="32"/>
          <w:szCs w:val="32"/>
        </w:rPr>
        <w:t>万余份并在仁和影院映前滚动播出。积极组织开展了一系列寓教于乐的职工文化体育活动，“四季乐”活动参与职工</w:t>
      </w:r>
      <w:r>
        <w:rPr>
          <w:rFonts w:ascii="仿宋_GB2312" w:eastAsia="仿宋_GB2312"/>
          <w:sz w:val="32"/>
          <w:szCs w:val="32"/>
        </w:rPr>
        <w:t>1.1</w:t>
      </w:r>
      <w:r>
        <w:rPr>
          <w:rFonts w:hint="eastAsia" w:ascii="仿宋_GB2312" w:eastAsia="仿宋_GB2312"/>
          <w:sz w:val="32"/>
          <w:szCs w:val="32"/>
        </w:rPr>
        <w:t>万人（次），选送</w:t>
      </w:r>
      <w:r>
        <w:rPr>
          <w:rFonts w:ascii="仿宋_GB2312" w:eastAsia="仿宋_GB2312"/>
          <w:sz w:val="32"/>
          <w:szCs w:val="32"/>
        </w:rPr>
        <w:t>9</w:t>
      </w:r>
      <w:r>
        <w:rPr>
          <w:rFonts w:hint="eastAsia" w:ascii="仿宋_GB2312" w:eastAsia="仿宋_GB2312"/>
          <w:sz w:val="32"/>
          <w:szCs w:val="32"/>
        </w:rPr>
        <w:t>篇作品参加全省“玫瑰书香”征文大赛；举办</w:t>
      </w:r>
      <w:r>
        <w:rPr>
          <w:rFonts w:ascii="仿宋_GB2312" w:eastAsia="仿宋_GB2312"/>
          <w:sz w:val="32"/>
          <w:szCs w:val="32"/>
        </w:rPr>
        <w:t>4</w:t>
      </w:r>
      <w:r>
        <w:rPr>
          <w:rFonts w:hint="eastAsia" w:ascii="仿宋_GB2312" w:eastAsia="仿宋_GB2312"/>
          <w:sz w:val="32"/>
          <w:szCs w:val="32"/>
        </w:rPr>
        <w:t>期职工才艺培训班，培训职工</w:t>
      </w:r>
      <w:r>
        <w:rPr>
          <w:rFonts w:ascii="仿宋_GB2312" w:eastAsia="仿宋_GB2312"/>
          <w:sz w:val="32"/>
          <w:szCs w:val="32"/>
        </w:rPr>
        <w:t>1068</w:t>
      </w:r>
      <w:r>
        <w:rPr>
          <w:rFonts w:hint="eastAsia" w:ascii="仿宋_GB2312" w:eastAsia="仿宋_GB2312"/>
          <w:sz w:val="32"/>
          <w:szCs w:val="32"/>
        </w:rPr>
        <w:t>人次。组织广大职工参加献血、看望孤寡老人等志愿活动。创建职工书屋</w:t>
      </w:r>
      <w:r>
        <w:rPr>
          <w:rFonts w:ascii="仿宋_GB2312" w:eastAsia="仿宋_GB2312"/>
          <w:sz w:val="32"/>
          <w:szCs w:val="32"/>
        </w:rPr>
        <w:t>3</w:t>
      </w:r>
      <w:r>
        <w:rPr>
          <w:rFonts w:hint="eastAsia" w:ascii="仿宋_GB2312" w:eastAsia="仿宋_GB2312"/>
          <w:sz w:val="32"/>
          <w:szCs w:val="32"/>
        </w:rPr>
        <w:t>家、农民工文化驿站</w:t>
      </w:r>
      <w:r>
        <w:rPr>
          <w:rFonts w:ascii="仿宋_GB2312" w:eastAsia="仿宋_GB2312"/>
          <w:sz w:val="32"/>
          <w:szCs w:val="32"/>
        </w:rPr>
        <w:t>1</w:t>
      </w:r>
      <w:r>
        <w:rPr>
          <w:rFonts w:hint="eastAsia" w:ascii="仿宋_GB2312" w:eastAsia="仿宋_GB2312"/>
          <w:sz w:val="32"/>
          <w:szCs w:val="32"/>
        </w:rPr>
        <w:t>家、“职工活动分中心”</w:t>
      </w:r>
      <w:r>
        <w:rPr>
          <w:rFonts w:ascii="仿宋_GB2312" w:eastAsia="仿宋_GB2312"/>
          <w:sz w:val="32"/>
          <w:szCs w:val="32"/>
        </w:rPr>
        <w:t>2</w:t>
      </w:r>
      <w:r>
        <w:rPr>
          <w:rFonts w:hint="eastAsia" w:ascii="仿宋_GB2312" w:eastAsia="仿宋_GB2312"/>
          <w:sz w:val="32"/>
          <w:szCs w:val="32"/>
        </w:rPr>
        <w:t>家。通过持续推进职工文化建设，着力打造服务品牌，更好地联系职工、凝聚职工、服务职工。</w:t>
      </w:r>
    </w:p>
    <w:p>
      <w:pPr>
        <w:spacing w:line="570" w:lineRule="exact"/>
        <w:ind w:firstLine="640" w:firstLineChars="200"/>
        <w:outlineLvl w:val="0"/>
        <w:rPr>
          <w:rFonts w:ascii="黑体" w:hAnsi="黑体" w:eastAsia="黑体"/>
          <w:sz w:val="32"/>
          <w:szCs w:val="32"/>
        </w:rPr>
      </w:pPr>
      <w:r>
        <w:rPr>
          <w:rFonts w:eastAsia="仿宋_GB2312"/>
          <w:sz w:val="32"/>
          <w:szCs w:val="32"/>
        </w:rPr>
        <w:t> </w:t>
      </w:r>
      <w:r>
        <w:rPr>
          <w:rFonts w:hint="eastAsia" w:eastAsia="仿宋_GB2312"/>
          <w:sz w:val="32"/>
          <w:szCs w:val="32"/>
        </w:rPr>
        <w:t>4.</w:t>
      </w:r>
      <w:r>
        <w:rPr>
          <w:rFonts w:hint="eastAsia" w:ascii="黑体" w:hAnsi="黑体" w:eastAsia="黑体"/>
          <w:sz w:val="32"/>
          <w:szCs w:val="32"/>
        </w:rPr>
        <w:t>注重固本强基，切实增强工会组织凝聚力</w:t>
      </w:r>
      <w:r>
        <w:rPr>
          <w:rFonts w:eastAsia="黑体"/>
          <w:sz w:val="32"/>
          <w:szCs w:val="32"/>
        </w:rPr>
        <w:t> </w:t>
      </w:r>
    </w:p>
    <w:p>
      <w:pPr>
        <w:spacing w:line="570" w:lineRule="exact"/>
        <w:ind w:firstLine="643" w:firstLineChars="200"/>
        <w:rPr>
          <w:rFonts w:ascii="黑体" w:hAnsi="黑体" w:eastAsia="黑体"/>
          <w:sz w:val="32"/>
          <w:szCs w:val="32"/>
        </w:rPr>
      </w:pPr>
      <w:r>
        <w:rPr>
          <w:rFonts w:hint="eastAsia" w:ascii="楷体_GB2312" w:eastAsia="楷体_GB2312"/>
          <w:b/>
          <w:sz w:val="32"/>
          <w:szCs w:val="32"/>
        </w:rPr>
        <w:t>加强基层组织建设。</w:t>
      </w:r>
      <w:r>
        <w:rPr>
          <w:rFonts w:hint="eastAsia" w:ascii="仿宋_GB2312" w:eastAsia="仿宋_GB2312"/>
          <w:sz w:val="32"/>
          <w:szCs w:val="32"/>
        </w:rPr>
        <w:t>认真贯彻落实《攀枝花市总工会基层组织建设计划（</w:t>
      </w:r>
      <w:r>
        <w:rPr>
          <w:rFonts w:ascii="仿宋_GB2312" w:eastAsia="仿宋_GB2312"/>
          <w:sz w:val="32"/>
          <w:szCs w:val="32"/>
        </w:rPr>
        <w:t>2018-2020</w:t>
      </w:r>
      <w:r>
        <w:rPr>
          <w:rFonts w:hint="eastAsia" w:ascii="仿宋_GB2312" w:eastAsia="仿宋_GB2312"/>
          <w:sz w:val="32"/>
          <w:szCs w:val="32"/>
        </w:rPr>
        <w:t>年）》，对八大职业群体的建会、入会情况进行调研，积极开展“工会组建月”活动，全年新增独立工会组织</w:t>
      </w:r>
      <w:r>
        <w:rPr>
          <w:rFonts w:ascii="仿宋_GB2312" w:eastAsia="仿宋_GB2312"/>
          <w:sz w:val="32"/>
          <w:szCs w:val="32"/>
        </w:rPr>
        <w:t>17</w:t>
      </w:r>
      <w:r>
        <w:rPr>
          <w:rFonts w:hint="eastAsia" w:ascii="仿宋_GB2312" w:eastAsia="仿宋_GB2312"/>
          <w:sz w:val="32"/>
          <w:szCs w:val="32"/>
        </w:rPr>
        <w:t>家，新覆盖小微企业</w:t>
      </w:r>
      <w:r>
        <w:rPr>
          <w:rFonts w:ascii="仿宋_GB2312" w:eastAsia="仿宋_GB2312"/>
          <w:sz w:val="32"/>
          <w:szCs w:val="32"/>
        </w:rPr>
        <w:t>464</w:t>
      </w:r>
      <w:r>
        <w:rPr>
          <w:rFonts w:hint="eastAsia" w:ascii="仿宋_GB2312" w:eastAsia="仿宋_GB2312"/>
          <w:sz w:val="32"/>
          <w:szCs w:val="32"/>
        </w:rPr>
        <w:t>家，发展新会员</w:t>
      </w:r>
      <w:r>
        <w:rPr>
          <w:rFonts w:ascii="仿宋_GB2312" w:eastAsia="仿宋_GB2312"/>
          <w:sz w:val="32"/>
          <w:szCs w:val="32"/>
        </w:rPr>
        <w:t>503</w:t>
      </w:r>
      <w:r>
        <w:rPr>
          <w:rFonts w:hint="eastAsia" w:ascii="仿宋_GB2312" w:eastAsia="仿宋_GB2312"/>
          <w:sz w:val="32"/>
          <w:szCs w:val="32"/>
        </w:rPr>
        <w:t>人，办理《工会法人资格证》</w:t>
      </w:r>
      <w:r>
        <w:rPr>
          <w:rFonts w:ascii="仿宋_GB2312" w:eastAsia="仿宋_GB2312"/>
          <w:sz w:val="32"/>
          <w:szCs w:val="32"/>
        </w:rPr>
        <w:t>67</w:t>
      </w:r>
      <w:r>
        <w:rPr>
          <w:rFonts w:hint="eastAsia" w:ascii="仿宋_GB2312" w:eastAsia="仿宋_GB2312"/>
          <w:sz w:val="32"/>
          <w:szCs w:val="32"/>
        </w:rPr>
        <w:t>家，1.9万名会员信息录入四川省工会组织和工会会员实名制管理数据库，</w:t>
      </w:r>
      <w:r>
        <w:rPr>
          <w:rFonts w:ascii="仿宋_GB2312" w:eastAsia="仿宋_GB2312"/>
          <w:sz w:val="32"/>
          <w:szCs w:val="32"/>
        </w:rPr>
        <w:t>1</w:t>
      </w:r>
      <w:r>
        <w:rPr>
          <w:rFonts w:hint="eastAsia" w:ascii="仿宋_GB2312" w:eastAsia="仿宋_GB2312"/>
          <w:sz w:val="32"/>
          <w:szCs w:val="32"/>
        </w:rPr>
        <w:t>万名会员信息录入“互联网</w:t>
      </w:r>
      <w:r>
        <w:rPr>
          <w:rFonts w:ascii="仿宋_GB2312" w:eastAsia="仿宋_GB2312"/>
          <w:sz w:val="32"/>
          <w:szCs w:val="32"/>
        </w:rPr>
        <w:t>+</w:t>
      </w:r>
      <w:r>
        <w:rPr>
          <w:rFonts w:hint="eastAsia" w:ascii="仿宋_GB2312" w:eastAsia="仿宋_GB2312"/>
          <w:sz w:val="32"/>
          <w:szCs w:val="32"/>
        </w:rPr>
        <w:t>工会</w:t>
      </w:r>
      <w:r>
        <w:rPr>
          <w:rFonts w:ascii="仿宋_GB2312" w:eastAsia="仿宋_GB2312"/>
          <w:sz w:val="32"/>
          <w:szCs w:val="32"/>
        </w:rPr>
        <w:t>+</w:t>
      </w:r>
      <w:r>
        <w:rPr>
          <w:rFonts w:hint="eastAsia" w:ascii="仿宋_GB2312" w:eastAsia="仿宋_GB2312"/>
          <w:sz w:val="32"/>
          <w:szCs w:val="32"/>
        </w:rPr>
        <w:t>普惠性服务管理系统”。</w:t>
      </w:r>
    </w:p>
    <w:p>
      <w:pPr>
        <w:spacing w:line="570" w:lineRule="exact"/>
        <w:ind w:firstLine="643" w:firstLineChars="200"/>
        <w:rPr>
          <w:rFonts w:ascii="黑体" w:hAnsi="黑体" w:eastAsia="黑体"/>
          <w:sz w:val="32"/>
          <w:szCs w:val="32"/>
        </w:rPr>
      </w:pPr>
      <w:r>
        <w:rPr>
          <w:rFonts w:hint="eastAsia" w:ascii="黑体" w:hAnsi="黑体" w:eastAsia="黑体"/>
          <w:b/>
          <w:sz w:val="32"/>
          <w:szCs w:val="32"/>
        </w:rPr>
        <w:t>5.推进改革创新，机关作风建设进一步加强</w:t>
      </w:r>
    </w:p>
    <w:p>
      <w:pPr>
        <w:spacing w:line="570" w:lineRule="exact"/>
        <w:ind w:firstLine="643" w:firstLineChars="200"/>
        <w:rPr>
          <w:rFonts w:ascii="仿宋_GB2312" w:eastAsia="仿宋_GB2312"/>
          <w:sz w:val="32"/>
          <w:szCs w:val="32"/>
        </w:rPr>
      </w:pPr>
      <w:r>
        <w:rPr>
          <w:rFonts w:hint="eastAsia" w:ascii="楷体_GB2312" w:eastAsia="楷体_GB2312"/>
          <w:b/>
          <w:sz w:val="32"/>
          <w:szCs w:val="32"/>
        </w:rPr>
        <w:t>加强党风廉政建设。</w:t>
      </w:r>
      <w:r>
        <w:rPr>
          <w:rFonts w:hint="eastAsia" w:ascii="仿宋_GB2312" w:eastAsia="仿宋_GB2312"/>
          <w:sz w:val="32"/>
          <w:szCs w:val="32"/>
        </w:rPr>
        <w:t>全面加强工会系统党的建设，营造风清气正的政治生态。强化机制约束，始终坚持以党章为根本遵循，使严格遵守《关于新形势下党内政治生活的若干准则》《中国共产党党内监督条例》成为每名党员干部的自觉行动。按照党风廉政建设责任制的要求，严格落实“一岗双责”，健全《党组议事规则》、支部组织生活会制度、“三会一课”制度、民主评议党员等制度。常态化制度化开展“两学一做”学习教育，认真开展“大学习大调研大讨论”活动，全面贯彻执行中央和省、市、区委的决策部署，教育党员干部严格遵守政治纪律和政治规矩，始终牢记宗旨意识，做到与职工肩并肩、心贴心，尽心竭力服务职工群众。</w:t>
      </w:r>
      <w:r>
        <w:rPr>
          <w:rFonts w:eastAsia="仿宋_GB2312"/>
          <w:sz w:val="32"/>
          <w:szCs w:val="32"/>
        </w:rPr>
        <w:t>  </w:t>
      </w:r>
    </w:p>
    <w:p>
      <w:pPr>
        <w:spacing w:line="570" w:lineRule="exact"/>
        <w:ind w:firstLine="643" w:firstLineChars="200"/>
        <w:rPr>
          <w:rFonts w:ascii="仿宋_GB2312" w:eastAsia="仿宋_GB2312"/>
          <w:sz w:val="32"/>
          <w:szCs w:val="32"/>
        </w:rPr>
      </w:pPr>
      <w:r>
        <w:rPr>
          <w:rFonts w:hint="eastAsia" w:ascii="楷体_GB2312" w:eastAsia="楷体_GB2312"/>
          <w:b/>
          <w:sz w:val="32"/>
          <w:szCs w:val="32"/>
        </w:rPr>
        <w:t>其他各项工作齐头并进。</w:t>
      </w:r>
      <w:r>
        <w:rPr>
          <w:rFonts w:hint="eastAsia" w:ascii="仿宋_GB2312" w:eastAsia="仿宋_GB2312"/>
          <w:sz w:val="32"/>
          <w:szCs w:val="32"/>
        </w:rPr>
        <w:t>全年共上报工作信息108条，上级采用23条。加大工会经费收缴力度，规范工会经费使用，完成了区总本级和直属事业单位工会俱乐部以及基层工会的工会经费、专项资金使用情况的审查审计监督工作。档案管理工作更加规范，女工、外宣、爱国卫生等其它各项工作取得较好成绩。全年，获得市以上表彰5项。</w:t>
      </w:r>
    </w:p>
    <w:p>
      <w:pPr>
        <w:spacing w:line="570" w:lineRule="exact"/>
        <w:ind w:firstLine="640" w:firstLineChars="200"/>
        <w:rPr>
          <w:rFonts w:ascii="黑体" w:hAnsi="黑体" w:eastAsia="黑体"/>
          <w:sz w:val="32"/>
          <w:szCs w:val="32"/>
        </w:rPr>
      </w:pPr>
      <w:r>
        <w:rPr>
          <w:rFonts w:hint="eastAsia" w:ascii="仿宋_GB2312" w:eastAsia="仿宋_GB2312"/>
          <w:sz w:val="32"/>
          <w:szCs w:val="32"/>
        </w:rPr>
        <w:t>一年来，虽然取得了一些成绩，但仍存在一些问题和不足，主要表现在：工会服务大局的能力和水平有待进一步增强；“互联网</w:t>
      </w:r>
      <w:r>
        <w:rPr>
          <w:rFonts w:ascii="仿宋_GB2312" w:eastAsia="仿宋_GB2312"/>
          <w:sz w:val="32"/>
          <w:szCs w:val="32"/>
        </w:rPr>
        <w:t>+</w:t>
      </w:r>
      <w:r>
        <w:rPr>
          <w:rFonts w:hint="eastAsia" w:ascii="仿宋_GB2312" w:eastAsia="仿宋_GB2312"/>
          <w:sz w:val="32"/>
          <w:szCs w:val="32"/>
        </w:rPr>
        <w:t>工会”普惠性服务项目需进一步拓展；政府、工会、企业三方协调机制还不完善，多部门合力维权格局有待进一步加强。这些都需要在今后的工作中采取有力措施，切实加以解决。</w:t>
      </w:r>
      <w:r>
        <w:rPr>
          <w:rFonts w:eastAsia="仿宋_GB2312"/>
          <w:sz w:val="32"/>
          <w:szCs w:val="32"/>
        </w:rPr>
        <w:t> </w:t>
      </w:r>
    </w:p>
    <w:p>
      <w:pPr>
        <w:pStyle w:val="3"/>
        <w:spacing w:before="0" w:after="0"/>
        <w:rPr>
          <w:rStyle w:val="15"/>
          <w:b w:val="0"/>
          <w:bCs w:val="0"/>
        </w:rPr>
      </w:pPr>
      <w:bookmarkStart w:id="20" w:name="_Toc15377200"/>
      <w:bookmarkStart w:id="21" w:name="_Toc15396601"/>
      <w:r>
        <w:rPr>
          <w:rFonts w:hint="eastAsia" w:ascii="黑体" w:eastAsia="黑体"/>
          <w:b w:val="0"/>
          <w:color w:val="000000"/>
        </w:rPr>
        <w:t>二、</w:t>
      </w:r>
      <w:r>
        <w:rPr>
          <w:rFonts w:hint="eastAsia" w:ascii="黑体" w:hAnsi="黑体" w:eastAsia="黑体"/>
          <w:b w:val="0"/>
          <w:color w:val="000000"/>
        </w:rPr>
        <w:t>机</w:t>
      </w:r>
      <w:r>
        <w:rPr>
          <w:rStyle w:val="15"/>
          <w:rFonts w:hint="eastAsia" w:ascii="黑体" w:hAnsi="黑体" w:eastAsia="黑体"/>
          <w:b w:val="0"/>
          <w:bCs w:val="0"/>
        </w:rPr>
        <w:t>构设置</w:t>
      </w:r>
      <w:bookmarkEnd w:id="20"/>
      <w:bookmarkEnd w:id="21"/>
    </w:p>
    <w:p>
      <w:pPr>
        <w:ind w:firstLine="640" w:firstLineChars="200"/>
        <w:rPr>
          <w:rFonts w:hint="eastAsia" w:ascii="仿宋_GB2312" w:hAnsi="仿宋_GB2312" w:eastAsia="仿宋_GB2312" w:cs="仿宋_GB2312"/>
          <w:bCs/>
          <w:sz w:val="32"/>
          <w:szCs w:val="32"/>
        </w:rPr>
      </w:pPr>
      <w:r>
        <w:rPr>
          <w:rFonts w:hint="eastAsia" w:ascii="仿宋_GB2312" w:hAnsi="仿宋_GB2312" w:eastAsia="仿宋_GB2312" w:cs="仿宋_GB2312"/>
          <w:bCs/>
          <w:sz w:val="32"/>
          <w:szCs w:val="32"/>
        </w:rPr>
        <w:t>仁和区总工会属一级预算单位，下属无二级预算单位，设2个内设机构，分别为办公室、财务经济保障部，行政编制4名，工勤编制1名。</w:t>
      </w:r>
    </w:p>
    <w:p>
      <w:pPr>
        <w:pStyle w:val="2"/>
        <w:spacing w:before="0" w:after="0"/>
        <w:ind w:right="440"/>
        <w:jc w:val="right"/>
        <w:rPr>
          <w:rStyle w:val="14"/>
          <w:rFonts w:hint="eastAsia" w:ascii="黑体" w:hAnsi="黑体" w:eastAsia="黑体"/>
          <w:b w:val="0"/>
          <w:bCs w:val="0"/>
        </w:rPr>
      </w:pPr>
      <w:bookmarkStart w:id="22" w:name="_Toc15377204"/>
      <w:bookmarkStart w:id="23" w:name="_Toc15396602"/>
      <w:r>
        <w:rPr>
          <w:rFonts w:hint="eastAsia" w:ascii="黑体" w:hAnsi="黑体" w:eastAsia="黑体"/>
          <w:b w:val="0"/>
          <w:color w:val="000000"/>
        </w:rPr>
        <w:t>第二部分</w:t>
      </w:r>
      <w:r>
        <w:rPr>
          <w:rStyle w:val="14"/>
          <w:rFonts w:hint="eastAsia" w:ascii="黑体" w:hAnsi="黑体" w:eastAsia="黑体"/>
          <w:b w:val="0"/>
          <w:bCs w:val="0"/>
        </w:rPr>
        <w:t>2018年度部门决算情况说明</w:t>
      </w:r>
      <w:bookmarkEnd w:id="22"/>
      <w:bookmarkEnd w:id="23"/>
    </w:p>
    <w:p>
      <w:pPr>
        <w:pStyle w:val="17"/>
        <w:numPr>
          <w:ilvl w:val="0"/>
          <w:numId w:val="1"/>
        </w:numPr>
        <w:spacing w:line="600" w:lineRule="exact"/>
        <w:ind w:firstLineChars="0"/>
        <w:outlineLvl w:val="1"/>
        <w:rPr>
          <w:rStyle w:val="15"/>
          <w:rFonts w:ascii="黑体" w:hAnsi="黑体" w:eastAsia="黑体"/>
          <w:b w:val="0"/>
        </w:rPr>
      </w:pPr>
      <w:bookmarkStart w:id="24" w:name="_Toc15377205"/>
      <w:bookmarkStart w:id="25" w:name="_Toc15396603"/>
      <w:r>
        <w:rPr>
          <w:rFonts w:hint="eastAsia" w:ascii="黑体" w:hAnsi="黑体" w:eastAsia="黑体"/>
          <w:color w:val="000000"/>
          <w:sz w:val="32"/>
          <w:szCs w:val="32"/>
        </w:rPr>
        <w:t>收</w:t>
      </w:r>
      <w:r>
        <w:rPr>
          <w:rStyle w:val="15"/>
          <w:rFonts w:hint="eastAsia" w:ascii="黑体" w:hAnsi="黑体" w:eastAsia="黑体"/>
          <w:b w:val="0"/>
        </w:rPr>
        <w:t>入支出决算总体情况说明</w:t>
      </w:r>
      <w:bookmarkEnd w:id="24"/>
      <w:bookmarkEnd w:id="25"/>
    </w:p>
    <w:p>
      <w:pPr>
        <w:spacing w:line="600" w:lineRule="exact"/>
        <w:ind w:firstLine="640" w:firstLineChars="200"/>
        <w:rPr>
          <w:rFonts w:ascii="仿宋" w:hAnsi="仿宋" w:eastAsia="仿宋"/>
          <w:color w:val="000000"/>
          <w:sz w:val="32"/>
          <w:szCs w:val="32"/>
        </w:rPr>
      </w:pPr>
      <w:r>
        <w:rPr>
          <w:rFonts w:hint="eastAsia" w:ascii="仿宋" w:hAnsi="仿宋" w:eastAsia="仿宋"/>
          <w:color w:val="000000"/>
          <w:sz w:val="32"/>
          <w:szCs w:val="32"/>
        </w:rPr>
        <w:t>2018年度收、支总计131.45万元。与2017年相比，收、支总计各减少2.53万元，下降1.89</w:t>
      </w:r>
      <w:r>
        <w:rPr>
          <w:rFonts w:ascii="仿宋" w:hAnsi="仿宋" w:eastAsia="仿宋"/>
          <w:color w:val="000000"/>
          <w:sz w:val="32"/>
          <w:szCs w:val="32"/>
        </w:rPr>
        <w:t>%</w:t>
      </w:r>
      <w:r>
        <w:rPr>
          <w:rFonts w:hint="eastAsia" w:ascii="仿宋" w:hAnsi="仿宋" w:eastAsia="仿宋"/>
          <w:color w:val="000000"/>
          <w:sz w:val="32"/>
          <w:szCs w:val="32"/>
        </w:rPr>
        <w:t>。主要变动原因是项目支出减少。</w:t>
      </w:r>
    </w:p>
    <w:p>
      <w:pPr>
        <w:spacing w:line="600" w:lineRule="exact"/>
        <w:ind w:firstLine="640" w:firstLineChars="200"/>
        <w:rPr>
          <w:rFonts w:ascii="仿宋" w:hAnsi="仿宋" w:eastAsia="仿宋"/>
          <w:color w:val="C00000"/>
          <w:sz w:val="32"/>
          <w:szCs w:val="32"/>
        </w:rPr>
      </w:pPr>
      <w:r>
        <w:rPr>
          <w:rFonts w:hint="eastAsia" w:ascii="仿宋" w:hAnsi="仿宋" w:eastAsia="仿宋"/>
          <w:color w:val="C00000"/>
          <w:sz w:val="32"/>
          <w:szCs w:val="32"/>
        </w:rPr>
        <w:t>（图</w:t>
      </w:r>
      <w:r>
        <w:rPr>
          <w:rFonts w:ascii="仿宋" w:hAnsi="仿宋" w:eastAsia="仿宋"/>
          <w:color w:val="C00000"/>
          <w:sz w:val="32"/>
          <w:szCs w:val="32"/>
        </w:rPr>
        <w:t>1</w:t>
      </w:r>
      <w:r>
        <w:rPr>
          <w:rFonts w:hint="eastAsia" w:ascii="仿宋" w:hAnsi="仿宋" w:eastAsia="仿宋"/>
          <w:color w:val="C00000"/>
          <w:sz w:val="32"/>
          <w:szCs w:val="32"/>
        </w:rPr>
        <w:t>：收、支决算总计变动情况图）（柱状图）</w:t>
      </w:r>
    </w:p>
    <w:p>
      <w:pPr>
        <w:widowControl/>
        <w:jc w:val="center"/>
      </w:pPr>
      <w:r>
        <w:drawing>
          <wp:inline distT="0" distB="0" distL="0" distR="0">
            <wp:extent cx="4392930" cy="1881505"/>
            <wp:effectExtent l="19050" t="0" r="26138" b="3988"/>
            <wp:docPr id="11" name="图表 1"/>
            <wp:cNvGraphicFramePr/>
            <a:graphic xmlns:a="http://schemas.openxmlformats.org/drawingml/2006/main">
              <a:graphicData uri="http://schemas.openxmlformats.org/drawingml/2006/chart">
                <c:chart xmlns:c="http://schemas.openxmlformats.org/drawingml/2006/chart" xmlns:r="http://schemas.openxmlformats.org/officeDocument/2006/relationships" r:id="rId4"/>
              </a:graphicData>
            </a:graphic>
          </wp:inline>
        </w:drawing>
      </w:r>
    </w:p>
    <w:p>
      <w:pPr>
        <w:rPr>
          <w:rFonts w:hint="eastAsia"/>
        </w:rPr>
      </w:pPr>
    </w:p>
    <w:p>
      <w:pPr>
        <w:spacing w:line="600" w:lineRule="exact"/>
        <w:ind w:left="640"/>
        <w:outlineLvl w:val="1"/>
        <w:rPr>
          <w:rStyle w:val="15"/>
          <w:rFonts w:ascii="黑体" w:hAnsi="黑体" w:eastAsia="黑体"/>
          <w:b w:val="0"/>
        </w:rPr>
      </w:pPr>
      <w:bookmarkStart w:id="26" w:name="_Toc15396604"/>
      <w:bookmarkStart w:id="27" w:name="_Toc15377206"/>
      <w:r>
        <w:rPr>
          <w:rFonts w:hint="eastAsia" w:ascii="黑体" w:hAnsi="黑体" w:eastAsia="黑体"/>
          <w:color w:val="000000"/>
          <w:sz w:val="32"/>
          <w:szCs w:val="32"/>
        </w:rPr>
        <w:t>二、收</w:t>
      </w:r>
      <w:r>
        <w:rPr>
          <w:rStyle w:val="15"/>
          <w:rFonts w:hint="eastAsia" w:ascii="黑体" w:hAnsi="黑体" w:eastAsia="黑体"/>
          <w:b w:val="0"/>
        </w:rPr>
        <w:t>入决算情况说明</w:t>
      </w:r>
      <w:bookmarkEnd w:id="26"/>
      <w:bookmarkEnd w:id="27"/>
    </w:p>
    <w:p>
      <w:pPr>
        <w:spacing w:line="600" w:lineRule="exact"/>
        <w:ind w:firstLine="640" w:firstLineChars="200"/>
        <w:outlineLvl w:val="1"/>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8年本年收入合计131.45万元，其中：一般公共预算财政拨款收入131.45万元，占100</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hint="eastAsia" w:ascii="仿宋" w:hAnsi="仿宋" w:eastAsia="仿宋"/>
          <w:color w:val="C00000"/>
          <w:sz w:val="32"/>
          <w:szCs w:val="32"/>
        </w:rPr>
      </w:pPr>
      <w:r>
        <w:rPr>
          <w:rFonts w:hint="eastAsia" w:ascii="仿宋" w:hAnsi="仿宋" w:eastAsia="仿宋"/>
          <w:color w:val="C00000"/>
          <w:sz w:val="32"/>
          <w:szCs w:val="32"/>
        </w:rPr>
        <w:t>（图2：收入决算结构图）（饼状图）</w:t>
      </w:r>
    </w:p>
    <w:p>
      <w:pPr>
        <w:jc w:val="center"/>
        <w:rPr>
          <w:rFonts w:hint="eastAsia"/>
        </w:rPr>
      </w:pPr>
      <w:r>
        <w:drawing>
          <wp:inline distT="0" distB="0" distL="0" distR="0">
            <wp:extent cx="4932680" cy="2540635"/>
            <wp:effectExtent l="19050" t="0" r="19818" b="0"/>
            <wp:docPr id="2"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5"/>
              </a:graphicData>
            </a:graphic>
          </wp:inline>
        </w:drawing>
      </w:r>
    </w:p>
    <w:p>
      <w:pPr>
        <w:spacing w:line="600" w:lineRule="exact"/>
        <w:ind w:left="640"/>
        <w:outlineLvl w:val="1"/>
        <w:rPr>
          <w:rStyle w:val="15"/>
          <w:rFonts w:ascii="黑体" w:hAnsi="黑体" w:eastAsia="黑体"/>
          <w:b w:val="0"/>
        </w:rPr>
      </w:pPr>
      <w:bookmarkStart w:id="28" w:name="_Toc15396605"/>
      <w:bookmarkStart w:id="29" w:name="_Toc15377207"/>
      <w:r>
        <w:rPr>
          <w:rFonts w:hint="eastAsia" w:ascii="黑体" w:hAnsi="黑体" w:eastAsia="黑体"/>
          <w:color w:val="000000"/>
          <w:sz w:val="32"/>
          <w:szCs w:val="32"/>
        </w:rPr>
        <w:t>三、支</w:t>
      </w:r>
      <w:r>
        <w:rPr>
          <w:rStyle w:val="15"/>
          <w:rFonts w:hint="eastAsia" w:ascii="黑体" w:hAnsi="黑体" w:eastAsia="黑体"/>
          <w:b w:val="0"/>
        </w:rPr>
        <w:t>出决算情况说明</w:t>
      </w:r>
      <w:bookmarkEnd w:id="28"/>
      <w:bookmarkEnd w:id="29"/>
    </w:p>
    <w:p>
      <w:pPr>
        <w:spacing w:line="600" w:lineRule="exact"/>
        <w:ind w:firstLine="640"/>
        <w:rPr>
          <w:rFonts w:ascii="仿宋" w:hAnsi="仿宋" w:eastAsia="仿宋"/>
          <w:color w:val="000000"/>
          <w:sz w:val="32"/>
          <w:szCs w:val="32"/>
          <w:shd w:val="pct10" w:color="auto" w:fill="FFFFFF"/>
        </w:rPr>
      </w:pPr>
      <w:r>
        <w:rPr>
          <w:rFonts w:ascii="仿宋" w:hAnsi="仿宋" w:eastAsia="仿宋"/>
          <w:color w:val="000000"/>
          <w:sz w:val="32"/>
          <w:szCs w:val="32"/>
        </w:rPr>
        <w:t>201</w:t>
      </w:r>
      <w:r>
        <w:rPr>
          <w:rFonts w:hint="eastAsia" w:ascii="仿宋" w:hAnsi="仿宋" w:eastAsia="仿宋"/>
          <w:color w:val="000000"/>
          <w:sz w:val="32"/>
          <w:szCs w:val="32"/>
        </w:rPr>
        <w:t>8年本年支出合计131.45万元，其中：基本支出102.87万元，占78.26</w:t>
      </w:r>
      <w:r>
        <w:rPr>
          <w:rFonts w:ascii="仿宋" w:hAnsi="仿宋" w:eastAsia="仿宋"/>
          <w:color w:val="000000"/>
          <w:sz w:val="32"/>
          <w:szCs w:val="32"/>
        </w:rPr>
        <w:t>%</w:t>
      </w:r>
      <w:r>
        <w:rPr>
          <w:rFonts w:hint="eastAsia" w:ascii="仿宋" w:hAnsi="仿宋" w:eastAsia="仿宋"/>
          <w:color w:val="000000"/>
          <w:sz w:val="32"/>
          <w:szCs w:val="32"/>
        </w:rPr>
        <w:t>；项目支出28.58万元，占21.74</w:t>
      </w:r>
      <w:r>
        <w:rPr>
          <w:rFonts w:ascii="仿宋" w:hAnsi="仿宋" w:eastAsia="仿宋"/>
          <w:color w:val="000000"/>
          <w:sz w:val="32"/>
          <w:szCs w:val="32"/>
        </w:rPr>
        <w:t>%</w:t>
      </w:r>
      <w:r>
        <w:rPr>
          <w:rFonts w:hint="eastAsia" w:ascii="仿宋" w:hAnsi="仿宋" w:eastAsia="仿宋"/>
          <w:color w:val="000000"/>
          <w:sz w:val="32"/>
          <w:szCs w:val="32"/>
        </w:rPr>
        <w:t>。</w:t>
      </w:r>
    </w:p>
    <w:p>
      <w:pPr>
        <w:spacing w:line="600" w:lineRule="exact"/>
        <w:ind w:firstLine="640" w:firstLineChars="200"/>
        <w:rPr>
          <w:rFonts w:ascii="仿宋" w:hAnsi="仿宋" w:eastAsia="仿宋"/>
          <w:color w:val="C00000"/>
          <w:sz w:val="32"/>
          <w:szCs w:val="32"/>
        </w:rPr>
      </w:pPr>
      <w:r>
        <w:rPr>
          <w:rFonts w:hint="eastAsia" w:ascii="仿宋" w:hAnsi="仿宋" w:eastAsia="仿宋"/>
          <w:color w:val="C00000"/>
          <w:sz w:val="32"/>
          <w:szCs w:val="32"/>
        </w:rPr>
        <w:t>（图3：支出决算结构图）（饼状图）</w:t>
      </w:r>
    </w:p>
    <w:p>
      <w:pPr>
        <w:jc w:val="center"/>
        <w:rPr>
          <w:rFonts w:hint="eastAsia"/>
        </w:rPr>
      </w:pPr>
      <w:r>
        <w:drawing>
          <wp:inline distT="0" distB="0" distL="0" distR="0">
            <wp:extent cx="4722495" cy="2721610"/>
            <wp:effectExtent l="19050" t="0" r="20379" b="2215"/>
            <wp:docPr id="3"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6"/>
              </a:graphicData>
            </a:graphic>
          </wp:inline>
        </w:drawing>
      </w:r>
    </w:p>
    <w:p>
      <w:pPr>
        <w:spacing w:line="600" w:lineRule="exact"/>
        <w:ind w:firstLine="640" w:firstLineChars="200"/>
        <w:outlineLvl w:val="1"/>
        <w:rPr>
          <w:rStyle w:val="15"/>
          <w:rFonts w:ascii="黑体" w:hAnsi="黑体" w:eastAsia="黑体"/>
          <w:b w:val="0"/>
        </w:rPr>
      </w:pPr>
      <w:bookmarkStart w:id="30" w:name="_Toc15396606"/>
      <w:bookmarkStart w:id="31" w:name="_Toc15377208"/>
      <w:r>
        <w:rPr>
          <w:rFonts w:hint="eastAsia" w:ascii="黑体" w:hAnsi="黑体" w:eastAsia="黑体"/>
          <w:color w:val="000000"/>
          <w:sz w:val="32"/>
          <w:szCs w:val="32"/>
        </w:rPr>
        <w:t>四、财</w:t>
      </w:r>
      <w:r>
        <w:rPr>
          <w:rStyle w:val="15"/>
          <w:rFonts w:hint="eastAsia" w:ascii="黑体" w:hAnsi="黑体" w:eastAsia="黑体"/>
          <w:b w:val="0"/>
        </w:rPr>
        <w:t>政拨款收入支出决算总体情况说明</w:t>
      </w:r>
      <w:bookmarkEnd w:id="30"/>
      <w:bookmarkEnd w:id="31"/>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8年财政拨款收、支总计131.45万元。与</w:t>
      </w:r>
      <w:r>
        <w:rPr>
          <w:rFonts w:ascii="仿宋" w:hAnsi="仿宋" w:eastAsia="仿宋"/>
          <w:color w:val="000000"/>
          <w:sz w:val="32"/>
          <w:szCs w:val="32"/>
        </w:rPr>
        <w:t>201</w:t>
      </w:r>
      <w:r>
        <w:rPr>
          <w:rFonts w:hint="eastAsia" w:ascii="仿宋" w:hAnsi="仿宋" w:eastAsia="仿宋"/>
          <w:color w:val="000000"/>
          <w:sz w:val="32"/>
          <w:szCs w:val="32"/>
        </w:rPr>
        <w:t>7年相比，财政拨款收、支总计各减少2.53万元，下降1.89</w:t>
      </w:r>
      <w:r>
        <w:rPr>
          <w:rFonts w:ascii="仿宋" w:hAnsi="仿宋" w:eastAsia="仿宋"/>
          <w:color w:val="000000"/>
          <w:sz w:val="32"/>
          <w:szCs w:val="32"/>
        </w:rPr>
        <w:t>%</w:t>
      </w:r>
      <w:r>
        <w:rPr>
          <w:rFonts w:hint="eastAsia" w:ascii="仿宋" w:hAnsi="仿宋" w:eastAsia="仿宋"/>
          <w:color w:val="000000"/>
          <w:sz w:val="32"/>
          <w:szCs w:val="32"/>
        </w:rPr>
        <w:t>。主要变动原因是项目支出减少。</w:t>
      </w:r>
    </w:p>
    <w:p>
      <w:pPr>
        <w:spacing w:line="600" w:lineRule="exact"/>
        <w:ind w:firstLine="640" w:firstLineChars="200"/>
        <w:rPr>
          <w:rFonts w:ascii="仿宋" w:hAnsi="仿宋" w:eastAsia="仿宋"/>
          <w:color w:val="C00000"/>
          <w:sz w:val="32"/>
          <w:szCs w:val="32"/>
        </w:rPr>
      </w:pPr>
      <w:r>
        <w:rPr>
          <w:rFonts w:hint="eastAsia" w:ascii="仿宋" w:hAnsi="仿宋" w:eastAsia="仿宋"/>
          <w:color w:val="C00000"/>
          <w:sz w:val="32"/>
          <w:szCs w:val="32"/>
        </w:rPr>
        <w:t>（图4：财政拨款收、支决算总计变动情况）（柱状图）</w:t>
      </w:r>
    </w:p>
    <w:p>
      <w:pPr>
        <w:jc w:val="center"/>
        <w:rPr>
          <w:rFonts w:hint="eastAsia"/>
        </w:rPr>
      </w:pPr>
      <w:r>
        <w:drawing>
          <wp:inline distT="0" distB="0" distL="0" distR="0">
            <wp:extent cx="4648200" cy="2096135"/>
            <wp:effectExtent l="19050" t="0" r="18607" b="0"/>
            <wp:docPr id="4" name="图表 4"/>
            <wp:cNvGraphicFramePr/>
            <a:graphic xmlns:a="http://schemas.openxmlformats.org/drawingml/2006/main">
              <a:graphicData uri="http://schemas.openxmlformats.org/drawingml/2006/chart">
                <c:chart xmlns:c="http://schemas.openxmlformats.org/drawingml/2006/chart" xmlns:r="http://schemas.openxmlformats.org/officeDocument/2006/relationships" r:id="rId7"/>
              </a:graphicData>
            </a:graphic>
          </wp:inline>
        </w:drawing>
      </w:r>
    </w:p>
    <w:p>
      <w:pPr>
        <w:spacing w:line="600" w:lineRule="exact"/>
        <w:ind w:firstLine="640" w:firstLineChars="200"/>
        <w:outlineLvl w:val="1"/>
        <w:rPr>
          <w:rStyle w:val="15"/>
          <w:rFonts w:ascii="黑体" w:hAnsi="黑体" w:eastAsia="黑体"/>
          <w:b w:val="0"/>
        </w:rPr>
      </w:pPr>
      <w:bookmarkStart w:id="32" w:name="_Toc15396607"/>
      <w:bookmarkStart w:id="33" w:name="_Toc15377209"/>
      <w:r>
        <w:rPr>
          <w:rFonts w:hint="eastAsia" w:ascii="黑体" w:hAnsi="黑体" w:eastAsia="黑体"/>
          <w:color w:val="000000"/>
          <w:sz w:val="32"/>
          <w:szCs w:val="32"/>
        </w:rPr>
        <w:t>五、</w:t>
      </w:r>
      <w:r>
        <w:rPr>
          <w:rFonts w:hint="eastAsia" w:ascii="黑体" w:hAnsi="黑体" w:eastAsia="黑体"/>
          <w:b/>
          <w:color w:val="000000"/>
          <w:sz w:val="32"/>
          <w:szCs w:val="32"/>
        </w:rPr>
        <w:t>一</w:t>
      </w:r>
      <w:r>
        <w:rPr>
          <w:rStyle w:val="15"/>
          <w:rFonts w:hint="eastAsia" w:ascii="黑体" w:hAnsi="黑体" w:eastAsia="黑体"/>
          <w:b w:val="0"/>
        </w:rPr>
        <w:t>般公共预算财政拨款支出决算情况说明</w:t>
      </w:r>
      <w:bookmarkEnd w:id="32"/>
      <w:bookmarkEnd w:id="33"/>
    </w:p>
    <w:p>
      <w:pPr>
        <w:spacing w:line="600" w:lineRule="exact"/>
        <w:ind w:firstLine="643" w:firstLineChars="200"/>
        <w:outlineLvl w:val="2"/>
        <w:rPr>
          <w:rFonts w:ascii="仿宋" w:hAnsi="仿宋" w:eastAsia="仿宋"/>
          <w:b/>
          <w:color w:val="000000"/>
          <w:sz w:val="32"/>
          <w:szCs w:val="32"/>
        </w:rPr>
      </w:pPr>
      <w:bookmarkStart w:id="34" w:name="_Toc15377210"/>
      <w:r>
        <w:rPr>
          <w:rFonts w:hint="eastAsia" w:ascii="仿宋" w:hAnsi="仿宋" w:eastAsia="仿宋"/>
          <w:b/>
          <w:color w:val="000000"/>
          <w:sz w:val="32"/>
          <w:szCs w:val="32"/>
        </w:rPr>
        <w:t>（一）一般公共预算财政拨款支出决算总体情况</w:t>
      </w:r>
      <w:bookmarkEnd w:id="34"/>
    </w:p>
    <w:p>
      <w:pPr>
        <w:spacing w:line="600" w:lineRule="exact"/>
        <w:ind w:firstLine="640" w:firstLineChars="20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8年一般公共预算财政拨款支出131.45万元，占本年支出合计的100</w:t>
      </w:r>
      <w:r>
        <w:rPr>
          <w:rFonts w:ascii="仿宋" w:hAnsi="仿宋" w:eastAsia="仿宋"/>
          <w:color w:val="000000"/>
          <w:sz w:val="32"/>
          <w:szCs w:val="32"/>
        </w:rPr>
        <w:t>%</w:t>
      </w:r>
      <w:r>
        <w:rPr>
          <w:rFonts w:hint="eastAsia" w:ascii="仿宋" w:hAnsi="仿宋" w:eastAsia="仿宋"/>
          <w:color w:val="000000"/>
          <w:sz w:val="32"/>
          <w:szCs w:val="32"/>
        </w:rPr>
        <w:t>。与</w:t>
      </w:r>
      <w:r>
        <w:rPr>
          <w:rFonts w:ascii="仿宋" w:hAnsi="仿宋" w:eastAsia="仿宋"/>
          <w:color w:val="000000"/>
          <w:sz w:val="32"/>
          <w:szCs w:val="32"/>
        </w:rPr>
        <w:t>201</w:t>
      </w:r>
      <w:r>
        <w:rPr>
          <w:rFonts w:hint="eastAsia" w:ascii="仿宋" w:hAnsi="仿宋" w:eastAsia="仿宋"/>
          <w:color w:val="000000"/>
          <w:sz w:val="32"/>
          <w:szCs w:val="32"/>
        </w:rPr>
        <w:t>7年相比，一般公共预算财政拨款减少2.53万元，下降2.53</w:t>
      </w:r>
      <w:r>
        <w:rPr>
          <w:rFonts w:ascii="仿宋" w:hAnsi="仿宋" w:eastAsia="仿宋"/>
          <w:color w:val="000000"/>
          <w:sz w:val="32"/>
          <w:szCs w:val="32"/>
        </w:rPr>
        <w:t>%</w:t>
      </w:r>
      <w:r>
        <w:rPr>
          <w:rFonts w:hint="eastAsia" w:ascii="仿宋" w:hAnsi="仿宋" w:eastAsia="仿宋"/>
          <w:color w:val="000000"/>
          <w:sz w:val="32"/>
          <w:szCs w:val="32"/>
        </w:rPr>
        <w:t>。主要变动原因是项目支出减少。</w:t>
      </w:r>
    </w:p>
    <w:p>
      <w:pPr>
        <w:spacing w:line="600" w:lineRule="exact"/>
        <w:rPr>
          <w:rFonts w:ascii="仿宋" w:hAnsi="仿宋" w:eastAsia="仿宋"/>
          <w:color w:val="C00000"/>
          <w:sz w:val="32"/>
          <w:szCs w:val="32"/>
        </w:rPr>
      </w:pPr>
      <w:r>
        <w:rPr>
          <w:rFonts w:hint="eastAsia" w:ascii="仿宋" w:hAnsi="仿宋" w:eastAsia="仿宋"/>
          <w:color w:val="C00000"/>
          <w:sz w:val="32"/>
          <w:szCs w:val="32"/>
        </w:rPr>
        <w:t>（图5：一般公共预算财政拨款支出决算变动情况）（柱状图）</w:t>
      </w:r>
    </w:p>
    <w:p>
      <w:pPr>
        <w:jc w:val="center"/>
        <w:rPr>
          <w:rFonts w:hint="eastAsia"/>
        </w:rPr>
      </w:pPr>
      <w:r>
        <w:drawing>
          <wp:inline distT="0" distB="0" distL="0" distR="0">
            <wp:extent cx="4545965" cy="2299970"/>
            <wp:effectExtent l="19050" t="0" r="25725" b="4770"/>
            <wp:docPr id="7" name="图表 7"/>
            <wp:cNvGraphicFramePr/>
            <a:graphic xmlns:a="http://schemas.openxmlformats.org/drawingml/2006/main">
              <a:graphicData uri="http://schemas.openxmlformats.org/drawingml/2006/chart">
                <c:chart xmlns:c="http://schemas.openxmlformats.org/drawingml/2006/chart" xmlns:r="http://schemas.openxmlformats.org/officeDocument/2006/relationships" r:id="rId8"/>
              </a:graphicData>
            </a:graphic>
          </wp:inline>
        </w:drawing>
      </w:r>
    </w:p>
    <w:p>
      <w:pPr>
        <w:spacing w:line="600" w:lineRule="exact"/>
        <w:ind w:firstLine="643" w:firstLineChars="200"/>
        <w:outlineLvl w:val="2"/>
        <w:rPr>
          <w:rFonts w:ascii="仿宋" w:hAnsi="仿宋" w:eastAsia="仿宋"/>
          <w:b/>
          <w:color w:val="000000"/>
          <w:sz w:val="32"/>
          <w:szCs w:val="32"/>
        </w:rPr>
      </w:pPr>
      <w:bookmarkStart w:id="35" w:name="_Toc15377211"/>
      <w:r>
        <w:rPr>
          <w:rFonts w:hint="eastAsia" w:ascii="仿宋" w:hAnsi="仿宋" w:eastAsia="仿宋"/>
          <w:b/>
          <w:color w:val="000000"/>
          <w:sz w:val="32"/>
          <w:szCs w:val="32"/>
        </w:rPr>
        <w:t>（二）一般公共预算财政拨款支出决算结构情况</w:t>
      </w:r>
      <w:bookmarkEnd w:id="35"/>
    </w:p>
    <w:p>
      <w:pPr>
        <w:spacing w:line="600" w:lineRule="exact"/>
        <w:ind w:firstLine="640"/>
        <w:rPr>
          <w:rFonts w:ascii="仿宋" w:hAnsi="仿宋" w:eastAsia="仿宋"/>
          <w:color w:val="000000" w:themeColor="text1"/>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w:t>
      </w:r>
      <w:r>
        <w:rPr>
          <w:rFonts w:hint="eastAsia" w:ascii="仿宋" w:hAnsi="仿宋" w:eastAsia="仿宋"/>
          <w:color w:val="000000" w:themeColor="text1"/>
          <w:sz w:val="32"/>
          <w:szCs w:val="32"/>
        </w:rPr>
        <w:t>政拨款支出131.45万元，主要用于以下方面</w:t>
      </w:r>
      <w:r>
        <w:rPr>
          <w:rFonts w:ascii="仿宋" w:hAnsi="仿宋" w:eastAsia="仿宋"/>
          <w:color w:val="000000" w:themeColor="text1"/>
          <w:sz w:val="32"/>
          <w:szCs w:val="32"/>
        </w:rPr>
        <w:t>:</w:t>
      </w:r>
      <w:r>
        <w:rPr>
          <w:rFonts w:hint="eastAsia" w:ascii="仿宋" w:hAnsi="仿宋" w:eastAsia="仿宋"/>
          <w:b/>
          <w:color w:val="000000" w:themeColor="text1"/>
          <w:sz w:val="32"/>
          <w:szCs w:val="32"/>
        </w:rPr>
        <w:t>一般公共服务支出（类）</w:t>
      </w:r>
      <w:r>
        <w:rPr>
          <w:rFonts w:hint="eastAsia" w:ascii="仿宋" w:hAnsi="仿宋" w:eastAsia="仿宋"/>
          <w:color w:val="000000" w:themeColor="text1"/>
          <w:sz w:val="32"/>
          <w:szCs w:val="32"/>
        </w:rPr>
        <w:t>支出108.45万元，占82.5</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社会保障和就业（类）</w:t>
      </w:r>
      <w:r>
        <w:rPr>
          <w:rFonts w:hint="eastAsia" w:ascii="仿宋" w:hAnsi="仿宋" w:eastAsia="仿宋"/>
          <w:color w:val="000000" w:themeColor="text1"/>
          <w:sz w:val="32"/>
          <w:szCs w:val="32"/>
        </w:rPr>
        <w:t>支出10.82万元，占8.23</w:t>
      </w:r>
      <w:r>
        <w:rPr>
          <w:rFonts w:ascii="仿宋" w:hAnsi="仿宋" w:eastAsia="仿宋"/>
          <w:color w:val="000000" w:themeColor="text1"/>
          <w:sz w:val="32"/>
          <w:szCs w:val="32"/>
        </w:rPr>
        <w:t>%</w:t>
      </w:r>
      <w:r>
        <w:rPr>
          <w:rFonts w:hint="eastAsia" w:ascii="仿宋" w:hAnsi="仿宋" w:eastAsia="仿宋"/>
          <w:color w:val="000000" w:themeColor="text1"/>
          <w:sz w:val="32"/>
          <w:szCs w:val="32"/>
        </w:rPr>
        <w:t>；医疗卫生支出3.65万元，占2.78</w:t>
      </w:r>
      <w:r>
        <w:rPr>
          <w:rFonts w:ascii="仿宋" w:hAnsi="仿宋" w:eastAsia="仿宋"/>
          <w:color w:val="000000" w:themeColor="text1"/>
          <w:sz w:val="32"/>
          <w:szCs w:val="32"/>
        </w:rPr>
        <w:t>%</w:t>
      </w:r>
      <w:r>
        <w:rPr>
          <w:rFonts w:hint="eastAsia" w:ascii="仿宋" w:hAnsi="仿宋" w:eastAsia="仿宋"/>
          <w:color w:val="000000" w:themeColor="text1"/>
          <w:sz w:val="32"/>
          <w:szCs w:val="32"/>
        </w:rPr>
        <w:t>；住房保障支出8.53万元，占6.49</w:t>
      </w:r>
      <w:r>
        <w:rPr>
          <w:rFonts w:ascii="仿宋" w:hAnsi="仿宋" w:eastAsia="仿宋"/>
          <w:color w:val="000000" w:themeColor="text1"/>
          <w:sz w:val="32"/>
          <w:szCs w:val="32"/>
        </w:rPr>
        <w:t>%</w:t>
      </w:r>
      <w:r>
        <w:rPr>
          <w:rFonts w:hint="eastAsia" w:ascii="仿宋" w:hAnsi="仿宋" w:eastAsia="仿宋"/>
          <w:color w:val="000000" w:themeColor="text1"/>
          <w:sz w:val="32"/>
          <w:szCs w:val="32"/>
        </w:rPr>
        <w:t>。</w:t>
      </w:r>
      <w:r>
        <w:rPr>
          <w:rFonts w:hint="eastAsia" w:ascii="仿宋" w:hAnsi="仿宋" w:eastAsia="仿宋"/>
          <w:b/>
          <w:color w:val="000000" w:themeColor="text1"/>
          <w:sz w:val="32"/>
          <w:szCs w:val="32"/>
        </w:rPr>
        <w:t>（罗列全部功能分类科目，至类级。）</w:t>
      </w:r>
    </w:p>
    <w:p>
      <w:pPr>
        <w:spacing w:line="600" w:lineRule="exact"/>
        <w:ind w:firstLine="640" w:firstLineChars="200"/>
        <w:rPr>
          <w:rFonts w:ascii="仿宋" w:hAnsi="仿宋" w:eastAsia="仿宋"/>
          <w:color w:val="C00000"/>
          <w:sz w:val="32"/>
          <w:szCs w:val="32"/>
        </w:rPr>
      </w:pPr>
      <w:r>
        <w:rPr>
          <w:rFonts w:hint="eastAsia" w:ascii="仿宋" w:hAnsi="仿宋" w:eastAsia="仿宋"/>
          <w:color w:val="C00000"/>
          <w:sz w:val="32"/>
          <w:szCs w:val="32"/>
        </w:rPr>
        <w:t>（图6：一般公共预算财政拨款支出决算结构）（饼状图）</w:t>
      </w:r>
    </w:p>
    <w:p>
      <w:pPr>
        <w:jc w:val="center"/>
        <w:rPr>
          <w:rFonts w:hint="eastAsia"/>
        </w:rPr>
      </w:pPr>
      <w:r>
        <w:drawing>
          <wp:inline distT="0" distB="0" distL="0" distR="0">
            <wp:extent cx="5274310" cy="3076575"/>
            <wp:effectExtent l="19050" t="0" r="21590" b="0"/>
            <wp:docPr id="9" name="图表 9"/>
            <wp:cNvGraphicFramePr/>
            <a:graphic xmlns:a="http://schemas.openxmlformats.org/drawingml/2006/main">
              <a:graphicData uri="http://schemas.openxmlformats.org/drawingml/2006/chart">
                <c:chart xmlns:c="http://schemas.openxmlformats.org/drawingml/2006/chart" xmlns:r="http://schemas.openxmlformats.org/officeDocument/2006/relationships" r:id="rId9"/>
              </a:graphicData>
            </a:graphic>
          </wp:inline>
        </w:drawing>
      </w:r>
    </w:p>
    <w:p>
      <w:pPr>
        <w:spacing w:line="600" w:lineRule="exact"/>
        <w:ind w:firstLine="643" w:firstLineChars="200"/>
        <w:outlineLvl w:val="2"/>
        <w:rPr>
          <w:rFonts w:ascii="仿宋" w:hAnsi="仿宋" w:eastAsia="仿宋"/>
          <w:b/>
          <w:color w:val="000000"/>
          <w:sz w:val="32"/>
          <w:szCs w:val="32"/>
        </w:rPr>
      </w:pPr>
      <w:bookmarkStart w:id="36" w:name="_Toc15377212"/>
      <w:r>
        <w:rPr>
          <w:rFonts w:hint="eastAsia" w:ascii="仿宋" w:hAnsi="仿宋" w:eastAsia="仿宋"/>
          <w:b/>
          <w:color w:val="000000"/>
          <w:sz w:val="32"/>
          <w:szCs w:val="32"/>
        </w:rPr>
        <w:t>（三）一般公共预算财政拨款支出决算具体情况</w:t>
      </w:r>
      <w:bookmarkEnd w:id="36"/>
    </w:p>
    <w:p>
      <w:pPr>
        <w:spacing w:line="600" w:lineRule="exact"/>
        <w:ind w:firstLine="643" w:firstLineChars="200"/>
        <w:outlineLvl w:val="2"/>
        <w:rPr>
          <w:rFonts w:ascii="仿宋" w:hAnsi="仿宋" w:eastAsia="仿宋"/>
          <w:color w:val="FF0000"/>
          <w:sz w:val="32"/>
          <w:szCs w:val="32"/>
        </w:rPr>
      </w:pPr>
      <w:bookmarkStart w:id="37" w:name="_Toc15377213"/>
      <w:bookmarkStart w:id="38" w:name="_Toc15377444"/>
      <w:bookmarkStart w:id="39" w:name="_Toc15378460"/>
      <w:r>
        <w:rPr>
          <w:rFonts w:hint="eastAsia" w:ascii="仿宋" w:hAnsi="仿宋" w:eastAsia="仿宋"/>
          <w:b/>
          <w:color w:val="000000" w:themeColor="text1"/>
          <w:sz w:val="32"/>
          <w:szCs w:val="32"/>
        </w:rPr>
        <w:t>2018年一般公共预算支出决算数为</w:t>
      </w:r>
      <w:r>
        <w:rPr>
          <w:rFonts w:hint="eastAsia" w:ascii="仿宋" w:hAnsi="仿宋" w:eastAsia="仿宋"/>
          <w:color w:val="000000" w:themeColor="text1"/>
          <w:sz w:val="32"/>
          <w:szCs w:val="32"/>
        </w:rPr>
        <w:t>，</w:t>
      </w:r>
      <w:r>
        <w:rPr>
          <w:rStyle w:val="11"/>
          <w:rFonts w:hint="eastAsia" w:ascii="仿宋" w:hAnsi="仿宋" w:eastAsia="仿宋"/>
          <w:bCs/>
          <w:color w:val="000000" w:themeColor="text1"/>
          <w:sz w:val="32"/>
          <w:szCs w:val="32"/>
        </w:rPr>
        <w:t>完成</w:t>
      </w:r>
      <w:r>
        <w:rPr>
          <w:rStyle w:val="11"/>
          <w:rFonts w:hint="eastAsia" w:ascii="仿宋" w:hAnsi="仿宋" w:eastAsia="仿宋"/>
          <w:bCs/>
          <w:color w:val="000000"/>
          <w:sz w:val="32"/>
          <w:szCs w:val="32"/>
        </w:rPr>
        <w:t>预算131.45</w:t>
      </w:r>
      <w:r>
        <w:rPr>
          <w:rStyle w:val="11"/>
          <w:rFonts w:ascii="仿宋" w:hAnsi="仿宋" w:eastAsia="仿宋"/>
          <w:bCs/>
          <w:color w:val="000000"/>
          <w:sz w:val="32"/>
          <w:szCs w:val="32"/>
        </w:rPr>
        <w:t>%</w:t>
      </w:r>
      <w:r>
        <w:rPr>
          <w:rStyle w:val="11"/>
          <w:rFonts w:hint="eastAsia" w:ascii="仿宋" w:hAnsi="仿宋" w:eastAsia="仿宋"/>
          <w:bCs/>
          <w:color w:val="000000"/>
          <w:sz w:val="32"/>
          <w:szCs w:val="32"/>
        </w:rPr>
        <w:t>。其中：</w:t>
      </w:r>
      <w:bookmarkEnd w:id="37"/>
      <w:bookmarkEnd w:id="38"/>
      <w:bookmarkEnd w:id="39"/>
    </w:p>
    <w:p>
      <w:pPr>
        <w:spacing w:line="600" w:lineRule="exact"/>
        <w:ind w:firstLine="643" w:firstLineChars="200"/>
        <w:rPr>
          <w:rFonts w:ascii="仿宋" w:hAnsi="仿宋" w:eastAsia="仿宋"/>
          <w:b/>
          <w:color w:val="000000"/>
          <w:sz w:val="32"/>
          <w:szCs w:val="32"/>
        </w:rPr>
      </w:pPr>
      <w:r>
        <w:rPr>
          <w:rStyle w:val="11"/>
          <w:rFonts w:ascii="仿宋" w:hAnsi="仿宋" w:eastAsia="仿宋"/>
          <w:bCs/>
          <w:color w:val="000000"/>
          <w:sz w:val="32"/>
          <w:szCs w:val="32"/>
        </w:rPr>
        <w:t>1.</w:t>
      </w:r>
      <w:r>
        <w:rPr>
          <w:rStyle w:val="11"/>
          <w:rFonts w:hint="eastAsia" w:ascii="仿宋" w:hAnsi="仿宋" w:eastAsia="仿宋"/>
          <w:bCs/>
          <w:color w:val="000000"/>
          <w:sz w:val="32"/>
          <w:szCs w:val="32"/>
        </w:rPr>
        <w:t>一般公共服务支出（类）群众团体事务（款）行政运行（项）</w:t>
      </w:r>
      <w:r>
        <w:rPr>
          <w:rStyle w:val="11"/>
          <w:rFonts w:ascii="仿宋" w:hAnsi="仿宋" w:eastAsia="仿宋"/>
          <w:bCs/>
          <w:color w:val="000000"/>
          <w:sz w:val="32"/>
          <w:szCs w:val="32"/>
        </w:rPr>
        <w:t>:</w:t>
      </w:r>
      <w:r>
        <w:rPr>
          <w:rStyle w:val="11"/>
          <w:rFonts w:hint="eastAsia" w:ascii="仿宋" w:hAnsi="仿宋" w:eastAsia="仿宋"/>
          <w:b w:val="0"/>
          <w:bCs/>
          <w:color w:val="000000"/>
          <w:sz w:val="32"/>
          <w:szCs w:val="32"/>
        </w:rPr>
        <w:t>支出决算为79.87万元，完成预算100</w:t>
      </w:r>
      <w:r>
        <w:rPr>
          <w:rStyle w:val="11"/>
          <w:rFonts w:ascii="仿宋" w:hAnsi="仿宋" w:eastAsia="仿宋"/>
          <w:b w:val="0"/>
          <w:bCs/>
          <w:color w:val="000000"/>
          <w:sz w:val="32"/>
          <w:szCs w:val="32"/>
        </w:rPr>
        <w:t>%</w:t>
      </w:r>
      <w:r>
        <w:rPr>
          <w:rStyle w:val="11"/>
          <w:rFonts w:hint="eastAsia" w:ascii="仿宋" w:hAnsi="仿宋" w:eastAsia="仿宋"/>
          <w:b w:val="0"/>
          <w:bCs/>
          <w:color w:val="000000"/>
          <w:sz w:val="32"/>
          <w:szCs w:val="32"/>
        </w:rPr>
        <w:t>，决算数等于预算数。</w:t>
      </w:r>
    </w:p>
    <w:p>
      <w:pPr>
        <w:spacing w:line="600" w:lineRule="exact"/>
        <w:ind w:firstLine="643" w:firstLineChars="200"/>
        <w:rPr>
          <w:rFonts w:ascii="仿宋" w:hAnsi="仿宋" w:eastAsia="仿宋"/>
          <w:b/>
          <w:color w:val="000000"/>
          <w:sz w:val="32"/>
          <w:szCs w:val="32"/>
        </w:rPr>
      </w:pPr>
      <w:r>
        <w:rPr>
          <w:rStyle w:val="11"/>
          <w:rFonts w:ascii="仿宋" w:hAnsi="仿宋" w:eastAsia="仿宋"/>
          <w:bCs/>
          <w:color w:val="000000"/>
          <w:sz w:val="32"/>
          <w:szCs w:val="32"/>
        </w:rPr>
        <w:t>2.</w:t>
      </w:r>
      <w:r>
        <w:rPr>
          <w:rStyle w:val="11"/>
          <w:rFonts w:hint="eastAsia" w:ascii="仿宋" w:hAnsi="仿宋" w:eastAsia="仿宋"/>
          <w:bCs/>
          <w:color w:val="000000"/>
          <w:sz w:val="32"/>
          <w:szCs w:val="32"/>
        </w:rPr>
        <w:t>一般公共服务支出（类）群众团体事务（款）其他群团体事务（项）</w:t>
      </w:r>
      <w:r>
        <w:rPr>
          <w:rStyle w:val="11"/>
          <w:rFonts w:ascii="仿宋" w:hAnsi="仿宋" w:eastAsia="仿宋"/>
          <w:bCs/>
          <w:color w:val="000000"/>
          <w:sz w:val="32"/>
          <w:szCs w:val="32"/>
        </w:rPr>
        <w:t>:</w:t>
      </w:r>
      <w:r>
        <w:rPr>
          <w:rStyle w:val="11"/>
          <w:rFonts w:hint="eastAsia" w:ascii="仿宋" w:hAnsi="仿宋" w:eastAsia="仿宋"/>
          <w:b w:val="0"/>
          <w:bCs/>
          <w:color w:val="000000"/>
          <w:sz w:val="32"/>
          <w:szCs w:val="32"/>
        </w:rPr>
        <w:t>支出决算为28.58万元，完成预算100</w:t>
      </w:r>
      <w:r>
        <w:rPr>
          <w:rStyle w:val="11"/>
          <w:rFonts w:ascii="仿宋" w:hAnsi="仿宋" w:eastAsia="仿宋"/>
          <w:b w:val="0"/>
          <w:bCs/>
          <w:color w:val="000000"/>
          <w:sz w:val="32"/>
          <w:szCs w:val="32"/>
        </w:rPr>
        <w:t>%</w:t>
      </w:r>
      <w:r>
        <w:rPr>
          <w:rStyle w:val="11"/>
          <w:rFonts w:hint="eastAsia" w:ascii="仿宋" w:hAnsi="仿宋" w:eastAsia="仿宋"/>
          <w:b w:val="0"/>
          <w:bCs/>
          <w:color w:val="000000"/>
          <w:sz w:val="32"/>
          <w:szCs w:val="32"/>
        </w:rPr>
        <w:t>，决算数等于预算数。</w:t>
      </w:r>
    </w:p>
    <w:p>
      <w:pPr>
        <w:spacing w:line="600" w:lineRule="exact"/>
        <w:ind w:firstLine="643" w:firstLineChars="200"/>
        <w:rPr>
          <w:rFonts w:ascii="仿宋" w:hAnsi="仿宋" w:eastAsia="仿宋"/>
          <w:b/>
          <w:color w:val="000000"/>
          <w:sz w:val="32"/>
          <w:szCs w:val="32"/>
        </w:rPr>
      </w:pPr>
      <w:r>
        <w:rPr>
          <w:rStyle w:val="11"/>
          <w:rFonts w:ascii="仿宋" w:hAnsi="仿宋" w:eastAsia="仿宋"/>
          <w:bCs/>
          <w:color w:val="000000"/>
          <w:sz w:val="32"/>
          <w:szCs w:val="32"/>
        </w:rPr>
        <w:t>3.</w:t>
      </w:r>
      <w:r>
        <w:rPr>
          <w:rStyle w:val="11"/>
          <w:rFonts w:hint="eastAsia" w:ascii="仿宋" w:hAnsi="仿宋" w:eastAsia="仿宋"/>
          <w:bCs/>
          <w:color w:val="000000"/>
          <w:sz w:val="32"/>
          <w:szCs w:val="32"/>
        </w:rPr>
        <w:t>社会保障和就业（类）行政事业单位离退休（款）未归口管理的行政单位离退休（项）</w:t>
      </w:r>
      <w:r>
        <w:rPr>
          <w:rStyle w:val="11"/>
          <w:rFonts w:ascii="仿宋" w:hAnsi="仿宋" w:eastAsia="仿宋"/>
          <w:bCs/>
          <w:color w:val="000000"/>
          <w:sz w:val="32"/>
          <w:szCs w:val="32"/>
        </w:rPr>
        <w:t>:</w:t>
      </w:r>
      <w:r>
        <w:rPr>
          <w:rStyle w:val="11"/>
          <w:rFonts w:hint="eastAsia" w:ascii="仿宋" w:hAnsi="仿宋" w:eastAsia="仿宋"/>
          <w:b w:val="0"/>
          <w:bCs/>
          <w:color w:val="000000"/>
          <w:sz w:val="32"/>
          <w:szCs w:val="32"/>
        </w:rPr>
        <w:t>支出决算为3.01万元，完成预算100</w:t>
      </w:r>
      <w:r>
        <w:rPr>
          <w:rStyle w:val="11"/>
          <w:rFonts w:ascii="仿宋" w:hAnsi="仿宋" w:eastAsia="仿宋"/>
          <w:b w:val="0"/>
          <w:bCs/>
          <w:color w:val="000000"/>
          <w:sz w:val="32"/>
          <w:szCs w:val="32"/>
        </w:rPr>
        <w:t>%</w:t>
      </w:r>
      <w:r>
        <w:rPr>
          <w:rStyle w:val="11"/>
          <w:rFonts w:hint="eastAsia" w:ascii="仿宋" w:hAnsi="仿宋" w:eastAsia="仿宋"/>
          <w:b w:val="0"/>
          <w:bCs/>
          <w:color w:val="000000"/>
          <w:sz w:val="32"/>
          <w:szCs w:val="32"/>
        </w:rPr>
        <w:t>，决算数等于预算数。</w:t>
      </w:r>
    </w:p>
    <w:p>
      <w:pPr>
        <w:spacing w:line="600" w:lineRule="exact"/>
        <w:ind w:firstLine="643" w:firstLineChars="200"/>
        <w:rPr>
          <w:rStyle w:val="11"/>
          <w:rFonts w:ascii="仿宋" w:hAnsi="仿宋" w:eastAsia="仿宋"/>
          <w:b w:val="0"/>
          <w:bCs/>
          <w:color w:val="000000"/>
          <w:sz w:val="32"/>
          <w:szCs w:val="32"/>
        </w:rPr>
      </w:pPr>
      <w:r>
        <w:rPr>
          <w:rStyle w:val="11"/>
          <w:rFonts w:ascii="仿宋" w:hAnsi="仿宋" w:eastAsia="仿宋"/>
          <w:bCs/>
          <w:color w:val="000000"/>
          <w:sz w:val="32"/>
          <w:szCs w:val="32"/>
        </w:rPr>
        <w:t>4.</w:t>
      </w:r>
      <w:r>
        <w:rPr>
          <w:rStyle w:val="11"/>
          <w:rFonts w:hint="eastAsia" w:ascii="仿宋" w:hAnsi="仿宋" w:eastAsia="仿宋"/>
          <w:bCs/>
          <w:color w:val="000000"/>
          <w:sz w:val="32"/>
          <w:szCs w:val="32"/>
        </w:rPr>
        <w:t>社会保障和就业（类）行政事业单位离退休（款）机关事业单位基本养老保险缴费（项）</w:t>
      </w:r>
      <w:r>
        <w:rPr>
          <w:rStyle w:val="11"/>
          <w:rFonts w:ascii="仿宋" w:hAnsi="仿宋" w:eastAsia="仿宋"/>
          <w:bCs/>
          <w:color w:val="000000"/>
          <w:sz w:val="32"/>
          <w:szCs w:val="32"/>
        </w:rPr>
        <w:t>:</w:t>
      </w:r>
      <w:r>
        <w:rPr>
          <w:rStyle w:val="11"/>
          <w:rFonts w:hint="eastAsia" w:ascii="仿宋" w:hAnsi="仿宋" w:eastAsia="仿宋"/>
          <w:b w:val="0"/>
          <w:bCs/>
          <w:color w:val="000000"/>
          <w:sz w:val="32"/>
          <w:szCs w:val="32"/>
        </w:rPr>
        <w:t>支出决算为7.81万元，完成预算100</w:t>
      </w:r>
      <w:r>
        <w:rPr>
          <w:rStyle w:val="11"/>
          <w:rFonts w:ascii="仿宋" w:hAnsi="仿宋" w:eastAsia="仿宋"/>
          <w:b w:val="0"/>
          <w:bCs/>
          <w:color w:val="000000"/>
          <w:sz w:val="32"/>
          <w:szCs w:val="32"/>
        </w:rPr>
        <w:t>%</w:t>
      </w:r>
      <w:r>
        <w:rPr>
          <w:rStyle w:val="11"/>
          <w:rFonts w:hint="eastAsia" w:ascii="仿宋" w:hAnsi="仿宋" w:eastAsia="仿宋"/>
          <w:b w:val="0"/>
          <w:bCs/>
          <w:color w:val="000000"/>
          <w:sz w:val="32"/>
          <w:szCs w:val="32"/>
        </w:rPr>
        <w:t>，决算数等于预算数。</w:t>
      </w:r>
    </w:p>
    <w:p>
      <w:pPr>
        <w:spacing w:line="600" w:lineRule="exact"/>
        <w:ind w:firstLine="643" w:firstLineChars="200"/>
        <w:rPr>
          <w:rStyle w:val="11"/>
          <w:rFonts w:ascii="仿宋" w:hAnsi="仿宋" w:eastAsia="仿宋"/>
          <w:b w:val="0"/>
          <w:bCs/>
          <w:color w:val="000000"/>
          <w:sz w:val="32"/>
          <w:szCs w:val="32"/>
        </w:rPr>
      </w:pPr>
      <w:r>
        <w:rPr>
          <w:rStyle w:val="11"/>
          <w:rFonts w:hint="eastAsia" w:ascii="仿宋" w:hAnsi="仿宋" w:eastAsia="仿宋"/>
          <w:bCs/>
          <w:color w:val="000000"/>
          <w:sz w:val="32"/>
          <w:szCs w:val="32"/>
        </w:rPr>
        <w:t>5</w:t>
      </w:r>
      <w:r>
        <w:rPr>
          <w:rStyle w:val="11"/>
          <w:rFonts w:ascii="仿宋" w:hAnsi="仿宋" w:eastAsia="仿宋"/>
          <w:bCs/>
          <w:color w:val="000000"/>
          <w:sz w:val="32"/>
          <w:szCs w:val="32"/>
        </w:rPr>
        <w:t>.</w:t>
      </w:r>
      <w:r>
        <w:rPr>
          <w:rStyle w:val="11"/>
          <w:rFonts w:hint="eastAsia" w:ascii="仿宋" w:hAnsi="仿宋" w:eastAsia="仿宋"/>
          <w:bCs/>
          <w:color w:val="000000"/>
          <w:sz w:val="32"/>
          <w:szCs w:val="32"/>
        </w:rPr>
        <w:t>医疗卫生与计划生育（类）行政事业单位医疗（款）行政单位医疗（项）</w:t>
      </w:r>
      <w:r>
        <w:rPr>
          <w:rStyle w:val="11"/>
          <w:rFonts w:ascii="仿宋" w:hAnsi="仿宋" w:eastAsia="仿宋"/>
          <w:bCs/>
          <w:color w:val="000000"/>
          <w:sz w:val="32"/>
          <w:szCs w:val="32"/>
        </w:rPr>
        <w:t>:</w:t>
      </w:r>
      <w:r>
        <w:rPr>
          <w:rStyle w:val="11"/>
          <w:rFonts w:hint="eastAsia" w:ascii="仿宋" w:hAnsi="仿宋" w:eastAsia="仿宋"/>
          <w:b w:val="0"/>
          <w:bCs/>
          <w:color w:val="000000"/>
          <w:sz w:val="32"/>
          <w:szCs w:val="32"/>
        </w:rPr>
        <w:t>支出决算为2.93万元，完成预算100</w:t>
      </w:r>
      <w:r>
        <w:rPr>
          <w:rStyle w:val="11"/>
          <w:rFonts w:ascii="仿宋" w:hAnsi="仿宋" w:eastAsia="仿宋"/>
          <w:b w:val="0"/>
          <w:bCs/>
          <w:color w:val="000000"/>
          <w:sz w:val="32"/>
          <w:szCs w:val="32"/>
        </w:rPr>
        <w:t>%</w:t>
      </w:r>
      <w:r>
        <w:rPr>
          <w:rStyle w:val="11"/>
          <w:rFonts w:hint="eastAsia" w:ascii="仿宋" w:hAnsi="仿宋" w:eastAsia="仿宋"/>
          <w:b w:val="0"/>
          <w:bCs/>
          <w:color w:val="000000"/>
          <w:sz w:val="32"/>
          <w:szCs w:val="32"/>
        </w:rPr>
        <w:t>，决算数等于预算数。</w:t>
      </w:r>
    </w:p>
    <w:p>
      <w:pPr>
        <w:spacing w:line="600" w:lineRule="exact"/>
        <w:ind w:firstLine="643" w:firstLineChars="200"/>
        <w:rPr>
          <w:rStyle w:val="11"/>
          <w:rFonts w:ascii="仿宋" w:hAnsi="仿宋" w:eastAsia="仿宋"/>
          <w:b w:val="0"/>
          <w:bCs/>
          <w:color w:val="000000"/>
          <w:sz w:val="32"/>
          <w:szCs w:val="32"/>
        </w:rPr>
      </w:pPr>
      <w:r>
        <w:rPr>
          <w:rStyle w:val="11"/>
          <w:rFonts w:hint="eastAsia" w:ascii="仿宋" w:hAnsi="仿宋" w:eastAsia="仿宋"/>
          <w:bCs/>
          <w:color w:val="000000"/>
          <w:sz w:val="32"/>
          <w:szCs w:val="32"/>
        </w:rPr>
        <w:t>6</w:t>
      </w:r>
      <w:r>
        <w:rPr>
          <w:rStyle w:val="11"/>
          <w:rFonts w:ascii="仿宋" w:hAnsi="仿宋" w:eastAsia="仿宋"/>
          <w:bCs/>
          <w:color w:val="000000"/>
          <w:sz w:val="32"/>
          <w:szCs w:val="32"/>
        </w:rPr>
        <w:t>.</w:t>
      </w:r>
      <w:r>
        <w:rPr>
          <w:rStyle w:val="11"/>
          <w:rFonts w:hint="eastAsia" w:ascii="仿宋" w:hAnsi="仿宋" w:eastAsia="仿宋"/>
          <w:bCs/>
          <w:color w:val="000000"/>
          <w:sz w:val="32"/>
          <w:szCs w:val="32"/>
        </w:rPr>
        <w:t>医疗卫生与计划生育（类）行政事业单位医疗（款）公务员医疗补助（项）</w:t>
      </w:r>
      <w:r>
        <w:rPr>
          <w:rStyle w:val="11"/>
          <w:rFonts w:ascii="仿宋" w:hAnsi="仿宋" w:eastAsia="仿宋"/>
          <w:bCs/>
          <w:color w:val="000000"/>
          <w:sz w:val="32"/>
          <w:szCs w:val="32"/>
        </w:rPr>
        <w:t>:</w:t>
      </w:r>
      <w:r>
        <w:rPr>
          <w:rStyle w:val="11"/>
          <w:rFonts w:hint="eastAsia" w:ascii="仿宋" w:hAnsi="仿宋" w:eastAsia="仿宋"/>
          <w:b w:val="0"/>
          <w:bCs/>
          <w:color w:val="000000"/>
          <w:sz w:val="32"/>
          <w:szCs w:val="32"/>
        </w:rPr>
        <w:t>支出决算为0.72万元，完成预算100</w:t>
      </w:r>
      <w:r>
        <w:rPr>
          <w:rStyle w:val="11"/>
          <w:rFonts w:ascii="仿宋" w:hAnsi="仿宋" w:eastAsia="仿宋"/>
          <w:b w:val="0"/>
          <w:bCs/>
          <w:color w:val="000000"/>
          <w:sz w:val="32"/>
          <w:szCs w:val="32"/>
        </w:rPr>
        <w:t>%</w:t>
      </w:r>
      <w:r>
        <w:rPr>
          <w:rStyle w:val="11"/>
          <w:rFonts w:hint="eastAsia" w:ascii="仿宋" w:hAnsi="仿宋" w:eastAsia="仿宋"/>
          <w:b w:val="0"/>
          <w:bCs/>
          <w:color w:val="000000"/>
          <w:sz w:val="32"/>
          <w:szCs w:val="32"/>
        </w:rPr>
        <w:t>，决算数等于预算数。</w:t>
      </w:r>
    </w:p>
    <w:p>
      <w:pPr>
        <w:spacing w:line="600" w:lineRule="exact"/>
        <w:ind w:firstLine="643" w:firstLineChars="200"/>
        <w:rPr>
          <w:rStyle w:val="11"/>
          <w:rFonts w:ascii="仿宋" w:hAnsi="仿宋" w:eastAsia="仿宋"/>
          <w:b w:val="0"/>
          <w:bCs/>
          <w:color w:val="000000"/>
          <w:sz w:val="32"/>
          <w:szCs w:val="32"/>
        </w:rPr>
      </w:pPr>
      <w:r>
        <w:rPr>
          <w:rStyle w:val="11"/>
          <w:rFonts w:hint="eastAsia" w:ascii="仿宋" w:hAnsi="仿宋" w:eastAsia="仿宋"/>
          <w:bCs/>
          <w:color w:val="000000"/>
          <w:sz w:val="32"/>
          <w:szCs w:val="32"/>
        </w:rPr>
        <w:t>7</w:t>
      </w:r>
      <w:r>
        <w:rPr>
          <w:rStyle w:val="11"/>
          <w:rFonts w:ascii="仿宋" w:hAnsi="仿宋" w:eastAsia="仿宋"/>
          <w:bCs/>
          <w:color w:val="000000"/>
          <w:sz w:val="32"/>
          <w:szCs w:val="32"/>
        </w:rPr>
        <w:t>.</w:t>
      </w:r>
      <w:r>
        <w:rPr>
          <w:rStyle w:val="11"/>
          <w:rFonts w:hint="eastAsia" w:ascii="仿宋" w:hAnsi="仿宋" w:eastAsia="仿宋"/>
          <w:bCs/>
          <w:color w:val="000000"/>
          <w:sz w:val="32"/>
          <w:szCs w:val="32"/>
        </w:rPr>
        <w:t>住房保障（类）住房改革（款）住房公积金（项）</w:t>
      </w:r>
      <w:r>
        <w:rPr>
          <w:rStyle w:val="11"/>
          <w:rFonts w:ascii="仿宋" w:hAnsi="仿宋" w:eastAsia="仿宋"/>
          <w:bCs/>
          <w:color w:val="000000"/>
          <w:sz w:val="32"/>
          <w:szCs w:val="32"/>
        </w:rPr>
        <w:t>:</w:t>
      </w:r>
      <w:r>
        <w:rPr>
          <w:rStyle w:val="11"/>
          <w:rFonts w:hint="eastAsia" w:ascii="仿宋" w:hAnsi="仿宋" w:eastAsia="仿宋"/>
          <w:b w:val="0"/>
          <w:bCs/>
          <w:color w:val="000000"/>
          <w:sz w:val="32"/>
          <w:szCs w:val="32"/>
        </w:rPr>
        <w:t>支出决算为8.53万元，完成预算100</w:t>
      </w:r>
      <w:r>
        <w:rPr>
          <w:rStyle w:val="11"/>
          <w:rFonts w:ascii="仿宋" w:hAnsi="仿宋" w:eastAsia="仿宋"/>
          <w:b w:val="0"/>
          <w:bCs/>
          <w:color w:val="000000"/>
          <w:sz w:val="32"/>
          <w:szCs w:val="32"/>
        </w:rPr>
        <w:t>%</w:t>
      </w:r>
      <w:r>
        <w:rPr>
          <w:rStyle w:val="11"/>
          <w:rFonts w:hint="eastAsia" w:ascii="仿宋" w:hAnsi="仿宋" w:eastAsia="仿宋"/>
          <w:b w:val="0"/>
          <w:bCs/>
          <w:color w:val="000000"/>
          <w:sz w:val="32"/>
          <w:szCs w:val="32"/>
        </w:rPr>
        <w:t>，决算数等于预算数。</w:t>
      </w:r>
    </w:p>
    <w:p>
      <w:pPr>
        <w:tabs>
          <w:tab w:val="right" w:pos="8306"/>
        </w:tabs>
        <w:spacing w:line="600" w:lineRule="exact"/>
        <w:ind w:firstLine="640"/>
        <w:outlineLvl w:val="1"/>
        <w:rPr>
          <w:rStyle w:val="15"/>
        </w:rPr>
      </w:pPr>
      <w:bookmarkStart w:id="40" w:name="_Toc15377214"/>
      <w:bookmarkStart w:id="41" w:name="_Toc15396608"/>
      <w:r>
        <w:rPr>
          <w:rFonts w:hint="eastAsia" w:ascii="黑体" w:eastAsia="黑体"/>
          <w:color w:val="000000"/>
          <w:sz w:val="32"/>
          <w:szCs w:val="32"/>
        </w:rPr>
        <w:t>六</w:t>
      </w:r>
      <w:r>
        <w:rPr>
          <w:rFonts w:hint="eastAsia" w:ascii="黑体" w:eastAsia="黑体"/>
          <w:b/>
          <w:color w:val="000000"/>
          <w:sz w:val="32"/>
          <w:szCs w:val="32"/>
        </w:rPr>
        <w:t>、</w:t>
      </w:r>
      <w:r>
        <w:rPr>
          <w:rFonts w:hint="eastAsia" w:ascii="黑体" w:hAnsi="黑体" w:eastAsia="黑体"/>
          <w:b/>
          <w:color w:val="000000"/>
          <w:sz w:val="32"/>
          <w:szCs w:val="32"/>
        </w:rPr>
        <w:t>一</w:t>
      </w:r>
      <w:r>
        <w:rPr>
          <w:rStyle w:val="15"/>
          <w:rFonts w:hint="eastAsia" w:ascii="黑体" w:hAnsi="黑体" w:eastAsia="黑体"/>
          <w:b w:val="0"/>
        </w:rPr>
        <w:t>般公共预算财政拨款基本支出决算情况说明</w:t>
      </w:r>
      <w:bookmarkEnd w:id="40"/>
      <w:bookmarkEnd w:id="41"/>
      <w:r>
        <w:rPr>
          <w:rStyle w:val="15"/>
          <w:rFonts w:ascii="黑体" w:hAnsi="黑体" w:eastAsia="黑体"/>
          <w:b w:val="0"/>
        </w:rPr>
        <w:tab/>
      </w:r>
    </w:p>
    <w:p>
      <w:pPr>
        <w:spacing w:line="600" w:lineRule="exact"/>
        <w:ind w:firstLine="645"/>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8年一般公共预算财政拨款基本支出99.84万元，其中：</w:t>
      </w:r>
    </w:p>
    <w:p>
      <w:pPr>
        <w:spacing w:line="600" w:lineRule="exact"/>
        <w:ind w:firstLine="645"/>
        <w:rPr>
          <w:rFonts w:ascii="仿宋" w:hAnsi="仿宋" w:eastAsia="仿宋"/>
          <w:color w:val="000000"/>
          <w:sz w:val="32"/>
          <w:szCs w:val="32"/>
        </w:rPr>
      </w:pPr>
      <w:r>
        <w:rPr>
          <w:rFonts w:hint="eastAsia" w:ascii="仿宋" w:hAnsi="仿宋" w:eastAsia="仿宋"/>
          <w:color w:val="000000"/>
          <w:sz w:val="32"/>
          <w:szCs w:val="32"/>
        </w:rPr>
        <w:t>人员经费87.81万元，主要包括：基本工资、津贴补贴、奖金、机关事业单位基本养老保险缴费、其他社会保障缴费、退休费、住房公积金支出等。</w:t>
      </w:r>
      <w:r>
        <w:rPr>
          <w:rFonts w:ascii="仿宋" w:hAnsi="仿宋" w:eastAsia="仿宋"/>
          <w:color w:val="000000"/>
          <w:sz w:val="32"/>
          <w:szCs w:val="32"/>
        </w:rPr>
        <w:br w:type="textWrapping"/>
      </w:r>
      <w:r>
        <w:rPr>
          <w:rFonts w:hint="eastAsia" w:ascii="仿宋" w:hAnsi="仿宋" w:eastAsia="仿宋"/>
          <w:color w:val="000000"/>
          <w:sz w:val="32"/>
          <w:szCs w:val="32"/>
        </w:rPr>
        <w:t>　　公用经费12.03万元，主要包括：办公费、水费、电费、邮电费、差旅费、公务接待费、工会经费、福利费、其他交通费、其他商品和服务支出支出等。</w:t>
      </w:r>
    </w:p>
    <w:p>
      <w:pPr>
        <w:spacing w:line="600" w:lineRule="exact"/>
        <w:ind w:firstLine="640"/>
        <w:outlineLvl w:val="1"/>
        <w:rPr>
          <w:rStyle w:val="15"/>
          <w:rFonts w:ascii="黑体" w:hAnsi="黑体" w:eastAsia="黑体"/>
          <w:b w:val="0"/>
        </w:rPr>
      </w:pPr>
      <w:bookmarkStart w:id="42" w:name="_Toc15396609"/>
      <w:bookmarkStart w:id="43" w:name="_Toc15377215"/>
      <w:r>
        <w:rPr>
          <w:rFonts w:hint="eastAsia" w:ascii="黑体" w:eastAsia="黑体"/>
          <w:color w:val="000000"/>
          <w:sz w:val="32"/>
          <w:szCs w:val="32"/>
        </w:rPr>
        <w:t>七、</w:t>
      </w:r>
      <w:r>
        <w:rPr>
          <w:rStyle w:val="15"/>
          <w:rFonts w:hint="eastAsia" w:ascii="黑体" w:hAnsi="黑体" w:eastAsia="黑体"/>
        </w:rPr>
        <w:t>“</w:t>
      </w:r>
      <w:r>
        <w:rPr>
          <w:rStyle w:val="15"/>
          <w:rFonts w:hint="eastAsia" w:ascii="黑体" w:hAnsi="黑体" w:eastAsia="黑体"/>
          <w:b w:val="0"/>
        </w:rPr>
        <w:t>三公”经费财政拨款支出决算情况说明</w:t>
      </w:r>
      <w:bookmarkEnd w:id="42"/>
      <w:bookmarkEnd w:id="43"/>
    </w:p>
    <w:p>
      <w:pPr>
        <w:spacing w:line="600" w:lineRule="exact"/>
        <w:ind w:firstLine="640"/>
        <w:outlineLvl w:val="2"/>
        <w:rPr>
          <w:rFonts w:ascii="仿宋" w:hAnsi="仿宋" w:eastAsia="仿宋"/>
          <w:b/>
          <w:color w:val="000000"/>
          <w:sz w:val="32"/>
          <w:szCs w:val="32"/>
        </w:rPr>
      </w:pPr>
      <w:bookmarkStart w:id="44" w:name="_Toc15377216"/>
      <w:r>
        <w:rPr>
          <w:rFonts w:hint="eastAsia" w:ascii="仿宋" w:hAnsi="仿宋" w:eastAsia="仿宋"/>
          <w:b/>
          <w:color w:val="000000"/>
          <w:sz w:val="32"/>
          <w:szCs w:val="32"/>
        </w:rPr>
        <w:t>（一）“三公”经费财政拨款支出决算总体情况说明</w:t>
      </w:r>
      <w:bookmarkEnd w:id="44"/>
    </w:p>
    <w:p>
      <w:pPr>
        <w:spacing w:line="600" w:lineRule="exact"/>
        <w:ind w:firstLine="640"/>
        <w:rPr>
          <w:rFonts w:ascii="仿宋" w:hAnsi="仿宋" w:eastAsia="仿宋"/>
          <w:color w:val="000000"/>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8年“三公”经费财政拨款支出决算为2.6万元，完成预算100</w:t>
      </w:r>
      <w:r>
        <w:rPr>
          <w:rFonts w:ascii="仿宋" w:hAnsi="仿宋" w:eastAsia="仿宋"/>
          <w:color w:val="000000"/>
          <w:sz w:val="32"/>
          <w:szCs w:val="32"/>
        </w:rPr>
        <w:t>%</w:t>
      </w:r>
      <w:r>
        <w:rPr>
          <w:rFonts w:hint="eastAsia" w:ascii="仿宋" w:hAnsi="仿宋" w:eastAsia="仿宋"/>
          <w:color w:val="000000"/>
          <w:sz w:val="32"/>
          <w:szCs w:val="32"/>
        </w:rPr>
        <w:t>，决算数与预算数持平。</w:t>
      </w:r>
    </w:p>
    <w:p>
      <w:pPr>
        <w:spacing w:line="600" w:lineRule="exact"/>
        <w:ind w:firstLine="640"/>
        <w:outlineLvl w:val="2"/>
        <w:rPr>
          <w:rFonts w:ascii="仿宋" w:hAnsi="仿宋" w:eastAsia="仿宋"/>
          <w:b/>
          <w:color w:val="000000"/>
          <w:sz w:val="32"/>
          <w:szCs w:val="32"/>
        </w:rPr>
      </w:pPr>
      <w:bookmarkStart w:id="45" w:name="_Toc15377217"/>
      <w:r>
        <w:rPr>
          <w:rFonts w:hint="eastAsia" w:ascii="仿宋" w:hAnsi="仿宋" w:eastAsia="仿宋"/>
          <w:b/>
          <w:color w:val="000000"/>
          <w:sz w:val="32"/>
          <w:szCs w:val="32"/>
        </w:rPr>
        <w:t>（二）“三公”经费财政拨款支出决算具体情况说明</w:t>
      </w:r>
      <w:bookmarkEnd w:id="45"/>
    </w:p>
    <w:p>
      <w:pPr>
        <w:spacing w:line="600" w:lineRule="exact"/>
        <w:ind w:firstLine="640"/>
        <w:rPr>
          <w:rFonts w:ascii="仿宋" w:hAnsi="仿宋" w:eastAsia="仿宋"/>
          <w:color w:val="000000" w:themeColor="text1"/>
          <w:sz w:val="32"/>
          <w:szCs w:val="32"/>
        </w:rPr>
      </w:pPr>
      <w:r>
        <w:rPr>
          <w:rFonts w:ascii="仿宋" w:hAnsi="仿宋" w:eastAsia="仿宋"/>
          <w:color w:val="000000"/>
          <w:sz w:val="32"/>
          <w:szCs w:val="32"/>
        </w:rPr>
        <w:t>201</w:t>
      </w:r>
      <w:r>
        <w:rPr>
          <w:rFonts w:hint="eastAsia" w:ascii="仿宋" w:hAnsi="仿宋" w:eastAsia="仿宋"/>
          <w:color w:val="000000"/>
          <w:sz w:val="32"/>
          <w:szCs w:val="32"/>
        </w:rPr>
        <w:t>8年“三公”经费财政拨款支出决算中，因公出国（境）费支出决算0万元；公务用车购置及运行维护费支出决算0万元；</w:t>
      </w:r>
      <w:r>
        <w:rPr>
          <w:rFonts w:hint="eastAsia" w:ascii="仿宋" w:hAnsi="仿宋" w:eastAsia="仿宋"/>
          <w:color w:val="000000" w:themeColor="text1"/>
          <w:sz w:val="32"/>
          <w:szCs w:val="32"/>
        </w:rPr>
        <w:t>公务接待费支出决算2.6万元，占100</w:t>
      </w:r>
      <w:r>
        <w:rPr>
          <w:rFonts w:ascii="仿宋" w:hAnsi="仿宋" w:eastAsia="仿宋"/>
          <w:color w:val="000000" w:themeColor="text1"/>
          <w:sz w:val="32"/>
          <w:szCs w:val="32"/>
        </w:rPr>
        <w:t>%</w:t>
      </w:r>
      <w:r>
        <w:rPr>
          <w:rFonts w:hint="eastAsia" w:ascii="仿宋" w:hAnsi="仿宋" w:eastAsia="仿宋"/>
          <w:color w:val="000000" w:themeColor="text1"/>
          <w:sz w:val="32"/>
          <w:szCs w:val="32"/>
        </w:rPr>
        <w:t>。具体情况如下：</w:t>
      </w:r>
    </w:p>
    <w:p>
      <w:pPr>
        <w:spacing w:line="600" w:lineRule="exact"/>
        <w:ind w:firstLine="640"/>
        <w:rPr>
          <w:rFonts w:ascii="仿宋" w:hAnsi="仿宋" w:eastAsia="仿宋"/>
          <w:color w:val="C00000"/>
          <w:sz w:val="32"/>
          <w:szCs w:val="32"/>
        </w:rPr>
      </w:pPr>
      <w:r>
        <w:rPr>
          <w:rFonts w:hint="eastAsia" w:ascii="仿宋" w:hAnsi="仿宋" w:eastAsia="仿宋"/>
          <w:color w:val="C00000"/>
          <w:sz w:val="32"/>
          <w:szCs w:val="32"/>
        </w:rPr>
        <w:t>（图8：“三公”经费财政拨款支出结构）（饼状图）</w:t>
      </w:r>
    </w:p>
    <w:p>
      <w:pPr>
        <w:jc w:val="center"/>
        <w:rPr>
          <w:rFonts w:hint="eastAsia"/>
        </w:rPr>
      </w:pPr>
      <w:r>
        <w:drawing>
          <wp:inline distT="0" distB="0" distL="0" distR="0">
            <wp:extent cx="5274310" cy="3076575"/>
            <wp:effectExtent l="19050" t="0" r="21590" b="0"/>
            <wp:docPr id="10" name="图表 10"/>
            <wp:cNvGraphicFramePr/>
            <a:graphic xmlns:a="http://schemas.openxmlformats.org/drawingml/2006/main">
              <a:graphicData uri="http://schemas.openxmlformats.org/drawingml/2006/chart">
                <c:chart xmlns:c="http://schemas.openxmlformats.org/drawingml/2006/chart" xmlns:r="http://schemas.openxmlformats.org/officeDocument/2006/relationships" r:id="rId10"/>
              </a:graphicData>
            </a:graphic>
          </wp:inline>
        </w:drawing>
      </w:r>
    </w:p>
    <w:p>
      <w:pPr>
        <w:spacing w:line="600" w:lineRule="exact"/>
        <w:ind w:firstLine="640"/>
        <w:rPr>
          <w:rFonts w:ascii="仿宋_GB2312" w:eastAsia="仿宋_GB2312"/>
          <w:color w:val="000000"/>
          <w:sz w:val="32"/>
          <w:szCs w:val="32"/>
        </w:rPr>
      </w:pPr>
      <w:r>
        <w:rPr>
          <w:rFonts w:ascii="仿宋_GB2312" w:eastAsia="仿宋_GB2312"/>
          <w:b/>
          <w:color w:val="000000"/>
          <w:sz w:val="32"/>
          <w:szCs w:val="32"/>
        </w:rPr>
        <w:t>1.</w:t>
      </w:r>
      <w:r>
        <w:rPr>
          <w:rFonts w:hint="eastAsia" w:ascii="仿宋_GB2312" w:eastAsia="仿宋_GB2312"/>
          <w:b/>
          <w:color w:val="000000"/>
          <w:sz w:val="32"/>
          <w:szCs w:val="32"/>
        </w:rPr>
        <w:t>因公出国（境）经费支出0</w:t>
      </w:r>
      <w:r>
        <w:rPr>
          <w:rFonts w:hint="eastAsia" w:ascii="仿宋_GB2312" w:eastAsia="仿宋_GB2312"/>
          <w:b/>
          <w:bCs/>
          <w:color w:val="000000"/>
          <w:sz w:val="32"/>
          <w:szCs w:val="32"/>
        </w:rPr>
        <w:t>万元</w:t>
      </w:r>
      <w:r>
        <w:rPr>
          <w:rStyle w:val="11"/>
          <w:rFonts w:hint="eastAsia" w:ascii="仿宋" w:hAnsi="仿宋" w:eastAsia="仿宋"/>
          <w:bCs/>
          <w:color w:val="000000"/>
          <w:sz w:val="32"/>
          <w:szCs w:val="32"/>
        </w:rPr>
        <w:t>。</w:t>
      </w:r>
      <w:r>
        <w:rPr>
          <w:rFonts w:hint="eastAsia" w:ascii="仿宋_GB2312" w:eastAsia="仿宋_GB2312"/>
          <w:color w:val="000000"/>
          <w:sz w:val="32"/>
          <w:szCs w:val="32"/>
        </w:rPr>
        <w:t>全年安排因公出国（境）团组0次，出国（境）0人。</w:t>
      </w:r>
    </w:p>
    <w:p>
      <w:pPr>
        <w:spacing w:line="600" w:lineRule="exact"/>
        <w:ind w:firstLine="640"/>
        <w:rPr>
          <w:rFonts w:ascii="仿宋_GB2312" w:eastAsia="仿宋_GB2312"/>
          <w:b/>
          <w:bCs/>
          <w:color w:val="000000"/>
          <w:sz w:val="32"/>
          <w:szCs w:val="32"/>
        </w:rPr>
      </w:pPr>
      <w:r>
        <w:rPr>
          <w:rFonts w:ascii="仿宋_GB2312" w:eastAsia="仿宋_GB2312"/>
          <w:b/>
          <w:color w:val="000000"/>
          <w:sz w:val="32"/>
          <w:szCs w:val="32"/>
        </w:rPr>
        <w:t>2.</w:t>
      </w:r>
      <w:r>
        <w:rPr>
          <w:rFonts w:hint="eastAsia" w:ascii="仿宋_GB2312" w:eastAsia="仿宋_GB2312"/>
          <w:b/>
          <w:color w:val="000000"/>
          <w:sz w:val="32"/>
          <w:szCs w:val="32"/>
        </w:rPr>
        <w:t>公务用车购置及运行维护费支出</w:t>
      </w:r>
      <w:r>
        <w:rPr>
          <w:rFonts w:hint="eastAsia" w:ascii="仿宋_GB2312" w:eastAsia="仿宋_GB2312"/>
          <w:b/>
          <w:bCs/>
          <w:color w:val="000000"/>
          <w:sz w:val="32"/>
          <w:szCs w:val="32"/>
        </w:rPr>
        <w:t>0万元，我会无公务用车车辆。</w:t>
      </w:r>
    </w:p>
    <w:p>
      <w:pPr>
        <w:spacing w:line="600" w:lineRule="exact"/>
        <w:ind w:firstLine="640"/>
        <w:rPr>
          <w:rFonts w:ascii="仿宋_GB2312" w:eastAsia="仿宋_GB2312"/>
          <w:color w:val="000000" w:themeColor="text1"/>
          <w:sz w:val="32"/>
          <w:szCs w:val="32"/>
        </w:rPr>
      </w:pPr>
      <w:r>
        <w:rPr>
          <w:rFonts w:ascii="仿宋_GB2312" w:eastAsia="仿宋_GB2312"/>
          <w:b/>
          <w:color w:val="000000"/>
          <w:sz w:val="32"/>
          <w:szCs w:val="32"/>
        </w:rPr>
        <w:t>3.</w:t>
      </w:r>
      <w:r>
        <w:rPr>
          <w:rFonts w:hint="eastAsia" w:ascii="仿宋_GB2312" w:eastAsia="仿宋_GB2312"/>
          <w:b/>
          <w:color w:val="000000"/>
          <w:sz w:val="32"/>
          <w:szCs w:val="32"/>
        </w:rPr>
        <w:t>公务接待费支出</w:t>
      </w:r>
      <w:r>
        <w:rPr>
          <w:rFonts w:hint="eastAsia" w:ascii="仿宋_GB2312" w:eastAsia="仿宋_GB2312"/>
          <w:b/>
          <w:color w:val="000000" w:themeColor="text1"/>
          <w:sz w:val="32"/>
          <w:szCs w:val="32"/>
        </w:rPr>
        <w:t>2.6万元，</w:t>
      </w:r>
      <w:r>
        <w:rPr>
          <w:rStyle w:val="11"/>
          <w:rFonts w:hint="eastAsia" w:ascii="仿宋" w:hAnsi="仿宋" w:eastAsia="仿宋"/>
          <w:color w:val="000000" w:themeColor="text1"/>
          <w:sz w:val="32"/>
          <w:szCs w:val="32"/>
        </w:rPr>
        <w:t>完成预算100</w:t>
      </w:r>
      <w:r>
        <w:rPr>
          <w:rStyle w:val="11"/>
          <w:rFonts w:ascii="仿宋" w:hAnsi="仿宋" w:eastAsia="仿宋"/>
          <w:color w:val="000000" w:themeColor="text1"/>
          <w:sz w:val="32"/>
          <w:szCs w:val="32"/>
        </w:rPr>
        <w:t>%</w:t>
      </w:r>
      <w:r>
        <w:rPr>
          <w:rStyle w:val="11"/>
          <w:rFonts w:hint="eastAsia" w:ascii="仿宋" w:hAnsi="仿宋" w:eastAsia="仿宋"/>
          <w:color w:val="000000" w:themeColor="text1"/>
          <w:sz w:val="32"/>
          <w:szCs w:val="32"/>
        </w:rPr>
        <w:t>。</w:t>
      </w:r>
      <w:r>
        <w:rPr>
          <w:rFonts w:hint="eastAsia" w:ascii="仿宋_GB2312" w:eastAsia="仿宋_GB2312"/>
          <w:color w:val="000000" w:themeColor="text1"/>
          <w:sz w:val="32"/>
          <w:szCs w:val="32"/>
        </w:rPr>
        <w:t>公务接待费支出决算比</w:t>
      </w:r>
      <w:r>
        <w:rPr>
          <w:rFonts w:ascii="仿宋_GB2312" w:eastAsia="仿宋_GB2312"/>
          <w:color w:val="000000" w:themeColor="text1"/>
          <w:sz w:val="32"/>
          <w:szCs w:val="32"/>
        </w:rPr>
        <w:t>201</w:t>
      </w:r>
      <w:r>
        <w:rPr>
          <w:rFonts w:hint="eastAsia" w:ascii="仿宋_GB2312" w:eastAsia="仿宋_GB2312"/>
          <w:color w:val="000000" w:themeColor="text1"/>
          <w:sz w:val="32"/>
          <w:szCs w:val="32"/>
        </w:rPr>
        <w:t>7年增加1.32万元，增长103.13</w:t>
      </w:r>
      <w:r>
        <w:rPr>
          <w:rFonts w:ascii="仿宋_GB2312" w:eastAsia="仿宋_GB2312"/>
          <w:color w:val="000000" w:themeColor="text1"/>
          <w:sz w:val="32"/>
          <w:szCs w:val="32"/>
        </w:rPr>
        <w:t>%</w:t>
      </w:r>
      <w:r>
        <w:rPr>
          <w:rFonts w:hint="eastAsia" w:ascii="仿宋_GB2312" w:eastAsia="仿宋_GB2312"/>
          <w:color w:val="000000" w:themeColor="text1"/>
          <w:sz w:val="32"/>
          <w:szCs w:val="32"/>
        </w:rPr>
        <w:t>。主要原因是上级部门对困难职工帮扶、普惠、互联网+等工作指导力度增大。</w:t>
      </w:r>
    </w:p>
    <w:p>
      <w:pPr>
        <w:spacing w:line="600" w:lineRule="exact"/>
        <w:ind w:firstLine="640"/>
        <w:outlineLvl w:val="1"/>
        <w:rPr>
          <w:rStyle w:val="15"/>
          <w:rFonts w:ascii="黑体" w:hAnsi="黑体" w:eastAsia="黑体"/>
        </w:rPr>
      </w:pPr>
      <w:bookmarkStart w:id="46" w:name="_Toc15396610"/>
      <w:bookmarkStart w:id="47" w:name="_Toc15377218"/>
      <w:r>
        <w:rPr>
          <w:rFonts w:hint="eastAsia" w:ascii="黑体" w:eastAsia="黑体"/>
          <w:color w:val="000000"/>
          <w:sz w:val="32"/>
          <w:szCs w:val="32"/>
        </w:rPr>
        <w:t>八、</w:t>
      </w:r>
      <w:r>
        <w:rPr>
          <w:rStyle w:val="15"/>
          <w:rFonts w:hint="eastAsia" w:ascii="黑体" w:hAnsi="黑体" w:eastAsia="黑体"/>
          <w:b w:val="0"/>
        </w:rPr>
        <w:t>政府性基金预算支出决算情况说明</w:t>
      </w:r>
      <w:bookmarkEnd w:id="46"/>
      <w:bookmarkEnd w:id="47"/>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8年政府性基金预算拨款支出0万元。</w:t>
      </w:r>
    </w:p>
    <w:p>
      <w:pPr>
        <w:spacing w:line="600" w:lineRule="exact"/>
        <w:ind w:firstLine="640"/>
        <w:rPr>
          <w:rFonts w:ascii="仿宋_GB2312" w:eastAsia="仿宋_GB2312"/>
          <w:color w:val="000000"/>
          <w:sz w:val="32"/>
          <w:szCs w:val="32"/>
        </w:rPr>
      </w:pPr>
    </w:p>
    <w:p>
      <w:pPr>
        <w:numPr>
          <w:ilvl w:val="0"/>
          <w:numId w:val="2"/>
        </w:numPr>
        <w:spacing w:line="600" w:lineRule="exact"/>
        <w:ind w:firstLine="640"/>
        <w:outlineLvl w:val="1"/>
        <w:rPr>
          <w:rStyle w:val="15"/>
          <w:rFonts w:ascii="黑体" w:hAnsi="黑体" w:eastAsia="黑体"/>
          <w:b w:val="0"/>
        </w:rPr>
      </w:pPr>
      <w:bookmarkStart w:id="48" w:name="_Toc15377219"/>
      <w:bookmarkStart w:id="49" w:name="_Toc15396611"/>
      <w:r>
        <w:rPr>
          <w:rStyle w:val="15"/>
          <w:rFonts w:hint="eastAsia" w:ascii="黑体" w:hAnsi="黑体" w:eastAsia="黑体"/>
          <w:b w:val="0"/>
        </w:rPr>
        <w:t>国有资本经营预算支出决算情况说明</w:t>
      </w:r>
      <w:bookmarkEnd w:id="48"/>
      <w:bookmarkEnd w:id="49"/>
    </w:p>
    <w:p>
      <w:pPr>
        <w:spacing w:line="600" w:lineRule="exact"/>
        <w:ind w:firstLine="64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8年国有资本经营预算拨款支出0万元。</w:t>
      </w:r>
    </w:p>
    <w:p>
      <w:pPr>
        <w:spacing w:line="580" w:lineRule="exact"/>
        <w:ind w:firstLine="800" w:firstLineChars="250"/>
        <w:rPr>
          <w:rStyle w:val="15"/>
          <w:rFonts w:ascii="黑体" w:hAnsi="黑体" w:eastAsia="黑体"/>
          <w:b w:val="0"/>
        </w:rPr>
      </w:pPr>
      <w:r>
        <w:rPr>
          <w:rStyle w:val="15"/>
          <w:rFonts w:hint="eastAsia" w:ascii="黑体" w:hAnsi="黑体" w:eastAsia="黑体"/>
          <w:b w:val="0"/>
        </w:rPr>
        <w:t>十、预算绩效情况说明</w:t>
      </w:r>
    </w:p>
    <w:p>
      <w:pPr>
        <w:numPr>
          <w:ilvl w:val="0"/>
          <w:numId w:val="3"/>
        </w:numPr>
        <w:spacing w:line="580" w:lineRule="exact"/>
        <w:ind w:firstLine="643" w:firstLineChars="200"/>
        <w:rPr>
          <w:rFonts w:ascii="仿宋" w:hAnsi="仿宋" w:eastAsia="仿宋" w:cs="楷体_GB2312"/>
          <w:b/>
          <w:bCs/>
          <w:sz w:val="32"/>
          <w:szCs w:val="32"/>
        </w:rPr>
      </w:pPr>
      <w:r>
        <w:rPr>
          <w:rFonts w:hint="eastAsia" w:ascii="仿宋" w:hAnsi="仿宋" w:eastAsia="仿宋" w:cs="楷体_GB2312"/>
          <w:b/>
          <w:bCs/>
          <w:sz w:val="32"/>
          <w:szCs w:val="32"/>
        </w:rPr>
        <w:t>预算绩效管理工作开展情况。</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根据预算绩效管理要求，我会在年初预算编制阶段，组织对困难职工帮扶资金、城镇退休劳模荣誉津贴、农村劳模生活补助、农村劳模医疗补助金、改制前退休省级劳模荣誉津贴、改制前退休市级劳模荣誉津贴等项目开展了预算事前绩效评估，对6个项目编制了绩效目标，年终执行完毕后，对5个项目开展了绩效目标完成情况梳理填报。</w:t>
      </w:r>
    </w:p>
    <w:p>
      <w:pPr>
        <w:ind w:firstLine="640" w:firstLineChars="200"/>
        <w:rPr>
          <w:rFonts w:ascii="仿宋_GB2312" w:hAnsi="仿宋_GB2312" w:eastAsia="仿宋_GB2312" w:cs="仿宋_GB2312"/>
          <w:bCs/>
          <w:sz w:val="32"/>
          <w:szCs w:val="32"/>
        </w:rPr>
      </w:pPr>
      <w:r>
        <w:rPr>
          <w:rFonts w:hint="eastAsia" w:ascii="仿宋_GB2312" w:hAnsi="仿宋_GB2312" w:eastAsia="仿宋_GB2312" w:cs="仿宋_GB2312"/>
          <w:sz w:val="32"/>
          <w:szCs w:val="32"/>
        </w:rPr>
        <w:t>我会</w:t>
      </w:r>
      <w:r>
        <w:rPr>
          <w:rFonts w:hint="eastAsia" w:ascii="仿宋_GB2312" w:hAnsi="仿宋_GB2312" w:eastAsia="仿宋_GB2312" w:cs="仿宋_GB2312"/>
          <w:bCs/>
          <w:sz w:val="32"/>
          <w:szCs w:val="32"/>
        </w:rPr>
        <w:t>按要求对2018年部门整体支出开展绩效自评，从评价情况来看，我单位2018年部门整体支出情况良好，从预算到执行和收入、支出及信息公开，都严格按照相关制度要求执行。</w:t>
      </w:r>
    </w:p>
    <w:p>
      <w:pPr>
        <w:numPr>
          <w:ilvl w:val="0"/>
          <w:numId w:val="3"/>
        </w:numPr>
        <w:spacing w:line="580" w:lineRule="exact"/>
        <w:ind w:firstLine="643" w:firstLineChars="200"/>
        <w:rPr>
          <w:rFonts w:ascii="仿宋_GB2312" w:hAnsi="仿宋_GB2312" w:eastAsia="仿宋_GB2312" w:cs="仿宋_GB2312"/>
          <w:sz w:val="32"/>
          <w:szCs w:val="32"/>
        </w:rPr>
      </w:pPr>
      <w:r>
        <w:rPr>
          <w:rFonts w:hint="eastAsia" w:ascii="仿宋" w:hAnsi="仿宋" w:eastAsia="仿宋" w:cs="楷体_GB2312"/>
          <w:b/>
          <w:bCs/>
          <w:sz w:val="32"/>
          <w:szCs w:val="32"/>
        </w:rPr>
        <w:t>项目绩效目标完成情况。</w:t>
      </w:r>
      <w:r>
        <w:rPr>
          <w:rFonts w:hint="eastAsia" w:ascii="楷体_GB2312" w:hAnsi="楷体_GB2312" w:eastAsia="楷体_GB2312" w:cs="楷体_GB2312"/>
          <w:b/>
          <w:bCs/>
          <w:sz w:val="32"/>
          <w:szCs w:val="32"/>
        </w:rPr>
        <w:br w:type="textWrapping"/>
      </w:r>
      <w:r>
        <w:rPr>
          <w:rFonts w:hint="eastAsia" w:ascii="仿宋_GB2312" w:hAnsi="仿宋_GB2312" w:eastAsia="仿宋_GB2312" w:cs="仿宋_GB2312"/>
          <w:sz w:val="32"/>
          <w:szCs w:val="32"/>
        </w:rPr>
        <w:t xml:space="preserve"> 我会在2018年度部门决算中反映困难职工帮扶资金、城镇退休劳模荣誉津贴、农村劳模生活补助、农村劳模医疗补助金、改制前退休省级劳模荣誉津贴”等5个项目绩效目标实际完成情况。</w:t>
      </w:r>
    </w:p>
    <w:p>
      <w:pPr>
        <w:numPr>
          <w:ilvl w:val="0"/>
          <w:numId w:val="4"/>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困难职工帮扶资金项目绩效目标完成情况综述。项目全年预算数10万元，执行数为10万元，完成预算的100%。通过项目实施，对建档特困、困难职工实施生活、医疗及助学救助，协助区委区政府解决建档困难职工在就业、子女教育、疾病医疗等方面遇到的实际问题。</w:t>
      </w:r>
    </w:p>
    <w:p>
      <w:pPr>
        <w:numPr>
          <w:ilvl w:val="0"/>
          <w:numId w:val="4"/>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城镇退休劳模荣誉津贴项目绩效目标完成情况综述。项目全年预算数2.5万元，执行数为2.21万元，完成预算的88.4%。通过项目实施，为23名城镇退休劳动模范发放荣誉津贴，体现对劳模的关怀与关爱，营造尊重劳模、学习劳模的社会氛围。</w:t>
      </w:r>
    </w:p>
    <w:p>
      <w:pPr>
        <w:numPr>
          <w:ilvl w:val="0"/>
          <w:numId w:val="4"/>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农村劳模生活补助金项目绩效目标完成情况综述。项目全年预算数3.74万元，执行数为3.55万元，完成预算的94.92%。通过项目实施，为37名农村劳动模范发放生活补助金，体现对劳模的关怀与关爱，营造尊重劳模、学习劳模的社会氛围。</w:t>
      </w:r>
    </w:p>
    <w:p>
      <w:pPr>
        <w:numPr>
          <w:ilvl w:val="0"/>
          <w:numId w:val="4"/>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农村劳模医保补助金项目绩效目标完成情况综述。项目全年预算数2.22万元，执行数为2.18万元，完成预算的98.2%。通过项目实施，为56名农村劳动模范发放医保补助金，体现对劳模的关怀与关爱，营造尊重劳模、学习劳模的社会氛围。</w:t>
      </w:r>
    </w:p>
    <w:p>
      <w:pPr>
        <w:numPr>
          <w:ilvl w:val="0"/>
          <w:numId w:val="4"/>
        </w:num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改制前退休省级劳模荣誉津贴项目绩效目标完成情况综述。项目全年预算数0.12万元，执行数为0.12万元，完成预算的100%。通过项目实施，为1名农村劳动模范发放医保补助金，体现对劳模的关怀与关爱，营造尊重劳模、学习劳模的社会氛围。</w:t>
      </w:r>
    </w:p>
    <w:tbl>
      <w:tblPr>
        <w:tblStyle w:val="9"/>
        <w:tblpPr w:leftFromText="180" w:rightFromText="180" w:vertAnchor="text" w:horzAnchor="margin" w:tblpY="1193"/>
        <w:tblOverlap w:val="never"/>
        <w:tblW w:w="12352" w:type="dxa"/>
        <w:tblInd w:w="0" w:type="dxa"/>
        <w:tblLayout w:type="fixed"/>
        <w:tblCellMar>
          <w:top w:w="0" w:type="dxa"/>
          <w:left w:w="0" w:type="dxa"/>
          <w:bottom w:w="0" w:type="dxa"/>
          <w:right w:w="0" w:type="dxa"/>
        </w:tblCellMar>
      </w:tblPr>
      <w:tblGrid>
        <w:gridCol w:w="390"/>
        <w:gridCol w:w="1367"/>
        <w:gridCol w:w="1025"/>
        <w:gridCol w:w="2392"/>
        <w:gridCol w:w="2394"/>
        <w:gridCol w:w="2392"/>
        <w:gridCol w:w="2392"/>
      </w:tblGrid>
      <w:tr>
        <w:tblPrEx>
          <w:tblCellMar>
            <w:top w:w="0" w:type="dxa"/>
            <w:left w:w="0" w:type="dxa"/>
            <w:bottom w:w="0" w:type="dxa"/>
            <w:right w:w="0" w:type="dxa"/>
          </w:tblCellMar>
        </w:tblPrEx>
        <w:trPr>
          <w:gridAfter w:val="1"/>
          <w:wAfter w:w="2392" w:type="dxa"/>
          <w:trHeight w:val="1034" w:hRule="atLeast"/>
        </w:trPr>
        <w:tc>
          <w:tcPr>
            <w:tcW w:w="9960" w:type="dxa"/>
            <w:gridSpan w:val="6"/>
            <w:tcMar>
              <w:top w:w="15" w:type="dxa"/>
              <w:left w:w="15" w:type="dxa"/>
              <w:bottom w:w="0" w:type="dxa"/>
              <w:right w:w="15" w:type="dxa"/>
            </w:tcMar>
            <w:vAlign w:val="center"/>
          </w:tcPr>
          <w:p>
            <w:pPr>
              <w:pStyle w:val="17"/>
              <w:widowControl/>
              <w:ind w:left="4173" w:leftChars="1310" w:right="-559" w:rightChars="-266" w:hanging="1422" w:hangingChars="395"/>
              <w:jc w:val="center"/>
              <w:textAlignment w:val="center"/>
              <w:rPr>
                <w:rFonts w:hint="eastAsia" w:ascii="黑体" w:hAnsi="黑体" w:eastAsia="黑体" w:cs="宋体"/>
                <w:bCs/>
                <w:color w:val="000000"/>
                <w:kern w:val="0"/>
                <w:sz w:val="36"/>
                <w:szCs w:val="36"/>
              </w:rPr>
            </w:pPr>
            <w:r>
              <w:rPr>
                <w:rFonts w:hint="eastAsia" w:ascii="黑体" w:hAnsi="黑体" w:eastAsia="黑体" w:cs="宋体"/>
                <w:bCs/>
                <w:color w:val="000000"/>
                <w:kern w:val="0"/>
                <w:sz w:val="36"/>
                <w:szCs w:val="36"/>
              </w:rPr>
              <w:t>项目支出绩效目标完成情况表</w:t>
            </w:r>
          </w:p>
          <w:p>
            <w:pPr>
              <w:pStyle w:val="17"/>
              <w:widowControl/>
              <w:ind w:left="4173" w:leftChars="1310" w:right="-559" w:rightChars="-266" w:hanging="1422" w:hangingChars="395"/>
              <w:jc w:val="center"/>
              <w:textAlignment w:val="center"/>
              <w:rPr>
                <w:rFonts w:ascii="宋体" w:hAnsi="宋体" w:cs="宋体"/>
                <w:color w:val="000000"/>
                <w:sz w:val="36"/>
                <w:szCs w:val="36"/>
              </w:rPr>
            </w:pPr>
            <w:r>
              <w:rPr>
                <w:rFonts w:hint="eastAsia" w:ascii="宋体" w:hAnsi="宋体" w:cs="宋体"/>
                <w:color w:val="000000"/>
                <w:kern w:val="0"/>
                <w:sz w:val="36"/>
                <w:szCs w:val="36"/>
              </w:rPr>
              <w:t>(2018 年度)</w:t>
            </w:r>
          </w:p>
        </w:tc>
      </w:tr>
      <w:tr>
        <w:tblPrEx>
          <w:tblCellMar>
            <w:top w:w="0" w:type="dxa"/>
            <w:left w:w="0" w:type="dxa"/>
            <w:bottom w:w="0" w:type="dxa"/>
            <w:right w:w="0" w:type="dxa"/>
          </w:tblCellMar>
        </w:tblPrEx>
        <w:trPr>
          <w:gridAfter w:val="1"/>
          <w:wAfter w:w="2392" w:type="dxa"/>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困难职工帮扶资金</w:t>
            </w:r>
          </w:p>
        </w:tc>
      </w:tr>
      <w:tr>
        <w:tblPrEx>
          <w:tblCellMar>
            <w:top w:w="0" w:type="dxa"/>
            <w:left w:w="0" w:type="dxa"/>
            <w:bottom w:w="0" w:type="dxa"/>
            <w:right w:w="0" w:type="dxa"/>
          </w:tblCellMar>
        </w:tblPrEx>
        <w:trPr>
          <w:gridAfter w:val="1"/>
          <w:wAfter w:w="2392" w:type="dxa"/>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攀枝花市仁和区总工会</w:t>
            </w:r>
          </w:p>
        </w:tc>
      </w:tr>
      <w:tr>
        <w:tblPrEx>
          <w:tblCellMar>
            <w:top w:w="0" w:type="dxa"/>
            <w:left w:w="0" w:type="dxa"/>
            <w:bottom w:w="0" w:type="dxa"/>
            <w:right w:w="0" w:type="dxa"/>
          </w:tblCellMar>
        </w:tblPrEx>
        <w:trPr>
          <w:gridAfter w:val="1"/>
          <w:wAfter w:w="2392" w:type="dxa"/>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10万元</w:t>
            </w:r>
          </w:p>
        </w:tc>
      </w:tr>
      <w:tr>
        <w:tblPrEx>
          <w:tblCellMar>
            <w:top w:w="0" w:type="dxa"/>
            <w:left w:w="0" w:type="dxa"/>
            <w:bottom w:w="0" w:type="dxa"/>
            <w:right w:w="0" w:type="dxa"/>
          </w:tblCellMar>
        </w:tblPrEx>
        <w:trPr>
          <w:gridAfter w:val="1"/>
          <w:wAfter w:w="2392" w:type="dxa"/>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10万元</w:t>
            </w:r>
          </w:p>
        </w:tc>
      </w:tr>
      <w:tr>
        <w:tblPrEx>
          <w:tblCellMar>
            <w:top w:w="0" w:type="dxa"/>
            <w:left w:w="0" w:type="dxa"/>
            <w:bottom w:w="0" w:type="dxa"/>
            <w:right w:w="0" w:type="dxa"/>
          </w:tblCellMar>
        </w:tblPrEx>
        <w:trPr>
          <w:gridAfter w:val="1"/>
          <w:wAfter w:w="2392" w:type="dxa"/>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gridAfter w:val="1"/>
          <w:wAfter w:w="2392" w:type="dxa"/>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gridAfter w:val="1"/>
          <w:wAfter w:w="2392" w:type="dxa"/>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extAlignment w:val="center"/>
              <w:rPr>
                <w:rFonts w:ascii="宋体" w:hAnsi="宋体" w:cs="宋体"/>
                <w:color w:val="000000"/>
                <w:sz w:val="24"/>
              </w:rPr>
            </w:pPr>
            <w:r>
              <w:rPr>
                <w:rFonts w:hint="eastAsia" w:ascii="宋体" w:hAnsi="宋体" w:cs="宋体"/>
                <w:color w:val="000000"/>
                <w:sz w:val="24"/>
              </w:rPr>
              <w:t>按照2012年第12期区委办《专题研究区总工会工作会纪要》，对建档特困、困难职工开展生活、医疗、助学救助10万元。</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按照2012年第12期区委办《专题研究区总工会工作会纪要》，对建档特困、困难职工开展生活、医疗、助学救助10万元。</w:t>
            </w:r>
          </w:p>
        </w:tc>
      </w:tr>
      <w:tr>
        <w:tblPrEx>
          <w:tblCellMar>
            <w:top w:w="0" w:type="dxa"/>
            <w:left w:w="0" w:type="dxa"/>
            <w:bottom w:w="0" w:type="dxa"/>
            <w:right w:w="0" w:type="dxa"/>
          </w:tblCellMar>
        </w:tblPrEx>
        <w:trPr>
          <w:gridAfter w:val="1"/>
          <w:wAfter w:w="2392" w:type="dxa"/>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gridAfter w:val="1"/>
          <w:wAfter w:w="2392" w:type="dxa"/>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对建档特困、困难职工实施救助10万。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对建档特困、困难职工实施救助10万。</w:t>
            </w:r>
          </w:p>
        </w:tc>
      </w:tr>
      <w:tr>
        <w:tblPrEx>
          <w:tblCellMar>
            <w:top w:w="0" w:type="dxa"/>
            <w:left w:w="0" w:type="dxa"/>
            <w:bottom w:w="0" w:type="dxa"/>
            <w:right w:w="0" w:type="dxa"/>
          </w:tblCellMar>
        </w:tblPrEx>
        <w:trPr>
          <w:gridAfter w:val="1"/>
          <w:wAfter w:w="2392" w:type="dxa"/>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生活及医疗救助标准为300-1000元/人，助学救助标准为3000-6000元/人。</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生活及医疗救助标准为300-1000元/人，助学救助标准为3000-6000元/人。</w:t>
            </w:r>
          </w:p>
        </w:tc>
      </w:tr>
      <w:tr>
        <w:tblPrEx>
          <w:tblCellMar>
            <w:top w:w="0" w:type="dxa"/>
            <w:left w:w="0" w:type="dxa"/>
            <w:bottom w:w="0" w:type="dxa"/>
            <w:right w:w="0" w:type="dxa"/>
          </w:tblCellMar>
        </w:tblPrEx>
        <w:trPr>
          <w:gridAfter w:val="1"/>
          <w:wAfter w:w="2392" w:type="dxa"/>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2018年12月31日前救助完毕。</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2018年12月31日前救助完毕。</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协助区委区政府解决建档困难职工在就业、子女教育、疾病医疗等方面遇到的实际问题。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协助区委区政府解决建档困难职工在就业、子女教育、疾病医疗等方面遇到的实际问题。</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gridAfter w:val="1"/>
          <w:wAfter w:w="2392" w:type="dxa"/>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p>
            <w:pPr>
              <w:widowControl/>
              <w:jc w:val="center"/>
              <w:textAlignment w:val="center"/>
              <w:rPr>
                <w:rFonts w:ascii="宋体" w:hAnsi="宋体" w:cs="宋体"/>
                <w:color w:val="000000"/>
                <w:sz w:val="24"/>
              </w:rPr>
            </w:pPr>
          </w:p>
        </w:tc>
      </w:tr>
    </w:tbl>
    <w:p>
      <w:pPr>
        <w:rPr>
          <w:rFonts w:ascii="Calibri" w:hAnsi="Calibri"/>
        </w:rPr>
      </w:pPr>
    </w:p>
    <w:tbl>
      <w:tblPr>
        <w:tblStyle w:val="9"/>
        <w:tblpPr w:leftFromText="180" w:rightFromText="180" w:vertAnchor="text" w:horzAnchor="page" w:tblpXSpec="center" w:tblpY="423"/>
        <w:tblOverlap w:val="never"/>
        <w:tblW w:w="9960" w:type="dxa"/>
        <w:tblInd w:w="0" w:type="dxa"/>
        <w:tblLayout w:type="fixed"/>
        <w:tblCellMar>
          <w:top w:w="0" w:type="dxa"/>
          <w:left w:w="0" w:type="dxa"/>
          <w:bottom w:w="0" w:type="dxa"/>
          <w:right w:w="0" w:type="dxa"/>
        </w:tblCellMar>
      </w:tblPr>
      <w:tblGrid>
        <w:gridCol w:w="390"/>
        <w:gridCol w:w="1367"/>
        <w:gridCol w:w="1025"/>
        <w:gridCol w:w="2392"/>
        <w:gridCol w:w="2394"/>
        <w:gridCol w:w="2392"/>
      </w:tblGrid>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17"/>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城镇退休劳模荣誉津贴</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攀枝花市仁和区总工会</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2.5万元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2.21万元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2.5万元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2.21万元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480" w:firstLineChars="200"/>
              <w:textAlignment w:val="center"/>
              <w:rPr>
                <w:rFonts w:ascii="宋体" w:hAnsi="宋体" w:cs="宋体"/>
                <w:color w:val="000000"/>
                <w:sz w:val="24"/>
              </w:rPr>
            </w:pPr>
            <w:r>
              <w:rPr>
                <w:rFonts w:hint="eastAsia" w:ascii="宋体" w:hAnsi="宋体" w:cs="宋体"/>
                <w:color w:val="000000"/>
                <w:sz w:val="24"/>
              </w:rPr>
              <w:t>按照《仁和区劳动模范评选管理办法》，为26名城镇退休劳动模范发放荣誉津贴2.5万元。</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480" w:firstLineChars="200"/>
              <w:textAlignment w:val="center"/>
              <w:rPr>
                <w:rFonts w:ascii="宋体" w:hAnsi="宋体" w:cs="宋体"/>
                <w:color w:val="000000"/>
                <w:sz w:val="24"/>
              </w:rPr>
            </w:pPr>
            <w:r>
              <w:rPr>
                <w:rFonts w:hint="eastAsia" w:ascii="宋体" w:hAnsi="宋体" w:cs="宋体"/>
                <w:color w:val="000000"/>
                <w:sz w:val="24"/>
              </w:rPr>
              <w:t>按照《仁和区劳动模范评选管理办法》，为23名城镇退休劳动模范发放荣誉津贴2.21万元。</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为26名城镇退休劳动模范发放荣誉津贴2.5万元。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为23名城镇退休劳动模范发放荣誉津贴2.21万元。</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960元/人/年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960元/人/年</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2018年12月31日前发放。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2018年12月31日前发放。</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营造尊重劳模、学习劳模的社会氛围；对劳模的关怀、关爱。</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造尊重劳模、学习劳模的社会氛围；对劳模的关怀、关爱。</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17"/>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农村劳模生活补助金</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攀枝花市仁和区总工会</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3.74万元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3.55万元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3.74万元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3.55万元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480" w:firstLineChars="200"/>
              <w:textAlignment w:val="center"/>
              <w:rPr>
                <w:rFonts w:ascii="宋体" w:hAnsi="宋体" w:cs="宋体"/>
                <w:color w:val="000000"/>
                <w:sz w:val="24"/>
              </w:rPr>
            </w:pPr>
            <w:r>
              <w:rPr>
                <w:rFonts w:hint="eastAsia" w:ascii="宋体" w:hAnsi="宋体" w:cs="宋体"/>
                <w:color w:val="000000"/>
                <w:sz w:val="24"/>
              </w:rPr>
              <w:t>按照《仁和区劳动模范评选管理办法》，为39名农村劳动模范发放生活补助金3.74万元。</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480" w:firstLineChars="200"/>
              <w:textAlignment w:val="center"/>
              <w:rPr>
                <w:rFonts w:ascii="宋体" w:hAnsi="宋体" w:cs="宋体"/>
                <w:color w:val="000000"/>
                <w:sz w:val="24"/>
              </w:rPr>
            </w:pPr>
            <w:r>
              <w:rPr>
                <w:rFonts w:hint="eastAsia" w:ascii="宋体" w:hAnsi="宋体" w:cs="宋体"/>
                <w:color w:val="000000"/>
                <w:sz w:val="24"/>
              </w:rPr>
              <w:t>按照《仁和区劳动模范评选管理办法》，为37名农村劳动模范发放生活补助金3.55万元。</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abs>
                <w:tab w:val="left" w:pos="495"/>
              </w:tabs>
              <w:jc w:val="left"/>
              <w:textAlignment w:val="center"/>
              <w:rPr>
                <w:rFonts w:ascii="宋体" w:hAnsi="宋体" w:cs="宋体"/>
                <w:color w:val="000000"/>
                <w:sz w:val="24"/>
              </w:rPr>
            </w:pPr>
            <w:r>
              <w:rPr>
                <w:rFonts w:hint="eastAsia" w:ascii="宋体" w:hAnsi="宋体" w:cs="宋体"/>
                <w:color w:val="000000"/>
                <w:sz w:val="24"/>
              </w:rPr>
              <w:tab/>
            </w:r>
            <w:r>
              <w:rPr>
                <w:rFonts w:hint="eastAsia" w:ascii="宋体" w:hAnsi="宋体" w:cs="宋体"/>
                <w:color w:val="000000"/>
                <w:sz w:val="24"/>
              </w:rPr>
              <w:t>为39名农村劳动模范发放生活补助金3.74万元。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为37名农村劳动模范发放生活补助金3.55万元。</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960元/人/年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960元/人/年</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2018年12月31日前发放。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2018年12月31日前发放。</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造尊重劳模、学习劳模的社会氛围；对劳模的关怀、关爱。</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造尊重劳模、学习劳模的社会氛围；对劳模的关怀、关爱。</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17"/>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农村劳模医保补助金</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攀枝花市仁和区总工会</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2.22万元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2.18万元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2.22万元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2.18万元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480" w:firstLineChars="200"/>
              <w:textAlignment w:val="center"/>
              <w:rPr>
                <w:rFonts w:ascii="宋体" w:hAnsi="宋体" w:cs="宋体"/>
                <w:color w:val="000000"/>
                <w:sz w:val="24"/>
              </w:rPr>
            </w:pPr>
            <w:r>
              <w:rPr>
                <w:rFonts w:hint="eastAsia" w:ascii="宋体" w:hAnsi="宋体" w:cs="宋体"/>
                <w:color w:val="000000"/>
                <w:sz w:val="24"/>
              </w:rPr>
              <w:t>按照《仁和区劳动模范评选管理办法》，为57名农村劳动模范发放医保补助金2.22万元。</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abs>
                <w:tab w:val="left" w:pos="1113"/>
              </w:tabs>
              <w:ind w:firstLine="480" w:firstLineChars="200"/>
              <w:textAlignment w:val="center"/>
              <w:rPr>
                <w:rFonts w:ascii="宋体" w:hAnsi="宋体" w:cs="宋体"/>
                <w:color w:val="000000"/>
                <w:sz w:val="24"/>
              </w:rPr>
            </w:pPr>
            <w:r>
              <w:rPr>
                <w:rFonts w:hint="eastAsia" w:ascii="宋体" w:hAnsi="宋体" w:cs="宋体"/>
                <w:color w:val="000000"/>
                <w:sz w:val="24"/>
              </w:rPr>
              <w:t>按照《仁和区劳动模范评选管理办法》，为56名农村劳动模范发放医保补助金2.18万元。</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abs>
                <w:tab w:val="left" w:pos="495"/>
              </w:tabs>
              <w:jc w:val="left"/>
              <w:textAlignment w:val="center"/>
              <w:rPr>
                <w:rFonts w:ascii="宋体" w:hAnsi="宋体" w:cs="宋体"/>
                <w:color w:val="000000"/>
                <w:sz w:val="24"/>
              </w:rPr>
            </w:pPr>
            <w:r>
              <w:rPr>
                <w:rFonts w:hint="eastAsia" w:ascii="宋体" w:hAnsi="宋体" w:cs="宋体"/>
                <w:color w:val="000000"/>
                <w:sz w:val="24"/>
              </w:rPr>
              <w:tab/>
            </w:r>
            <w:r>
              <w:rPr>
                <w:rFonts w:hint="eastAsia" w:ascii="宋体" w:hAnsi="宋体" w:cs="宋体"/>
                <w:color w:val="000000"/>
                <w:sz w:val="24"/>
              </w:rPr>
              <w:t>为57名农村劳动模范发放医保补助金2.22万元。</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 xml:space="preserve">  为56名农村劳动范发放医保补助金2.18万元。</w:t>
            </w: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390元/人/年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390元/人/年</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2018年12月31日前发放。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2018年12月31日前发放。</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造尊重劳模、学习劳模的社会氛围；对劳模的关怀、关爱。</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造尊重劳模、学习劳模的社会氛围；对劳模的关怀、关爱。</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p>
            <w:pPr>
              <w:widowControl/>
              <w:jc w:val="center"/>
              <w:textAlignment w:val="center"/>
              <w:rPr>
                <w:rFonts w:ascii="宋体" w:hAnsi="宋体" w:cs="宋体"/>
                <w:color w:val="000000"/>
                <w:sz w:val="24"/>
              </w:rPr>
            </w:pPr>
          </w:p>
        </w:tc>
      </w:tr>
      <w:tr>
        <w:tblPrEx>
          <w:tblCellMar>
            <w:top w:w="0" w:type="dxa"/>
            <w:left w:w="0" w:type="dxa"/>
            <w:bottom w:w="0" w:type="dxa"/>
            <w:right w:w="0" w:type="dxa"/>
          </w:tblCellMar>
        </w:tblPrEx>
        <w:trPr>
          <w:trHeight w:val="1034" w:hRule="atLeast"/>
        </w:trPr>
        <w:tc>
          <w:tcPr>
            <w:tcW w:w="9960" w:type="dxa"/>
            <w:gridSpan w:val="6"/>
            <w:tcMar>
              <w:top w:w="15" w:type="dxa"/>
              <w:left w:w="15" w:type="dxa"/>
              <w:bottom w:w="0" w:type="dxa"/>
              <w:right w:w="15" w:type="dxa"/>
            </w:tcMar>
            <w:vAlign w:val="center"/>
          </w:tcPr>
          <w:p>
            <w:pPr>
              <w:pStyle w:val="17"/>
              <w:widowControl/>
              <w:ind w:left="4173" w:leftChars="1310" w:hanging="1422" w:hangingChars="395"/>
              <w:textAlignment w:val="center"/>
              <w:rPr>
                <w:rFonts w:ascii="宋体" w:hAnsi="宋体" w:cs="宋体"/>
                <w:color w:val="000000"/>
                <w:sz w:val="36"/>
                <w:szCs w:val="36"/>
              </w:rPr>
            </w:pPr>
            <w:r>
              <w:rPr>
                <w:rFonts w:hint="eastAsia" w:ascii="黑体" w:hAnsi="黑体" w:eastAsia="黑体" w:cs="宋体"/>
                <w:bCs/>
                <w:color w:val="000000"/>
                <w:kern w:val="0"/>
                <w:sz w:val="36"/>
                <w:szCs w:val="36"/>
              </w:rPr>
              <w:t>项目支出绩效目标完成情况表</w:t>
            </w:r>
            <w:r>
              <w:rPr>
                <w:rFonts w:hint="eastAsia" w:ascii="宋体" w:hAnsi="宋体" w:cs="宋体"/>
                <w:b/>
                <w:bCs/>
                <w:color w:val="000000"/>
                <w:kern w:val="0"/>
                <w:sz w:val="36"/>
                <w:szCs w:val="36"/>
              </w:rPr>
              <w:br w:type="textWrapping"/>
            </w:r>
            <w:r>
              <w:rPr>
                <w:rFonts w:hint="eastAsia" w:ascii="宋体" w:hAnsi="宋体" w:cs="宋体"/>
                <w:color w:val="000000"/>
                <w:kern w:val="0"/>
                <w:sz w:val="36"/>
                <w:szCs w:val="36"/>
              </w:rPr>
              <w:t>(2018 年度)</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项目名称</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改制前退休省级劳模荣誉津贴</w:t>
            </w:r>
          </w:p>
        </w:tc>
      </w:tr>
      <w:tr>
        <w:tblPrEx>
          <w:tblCellMar>
            <w:top w:w="0" w:type="dxa"/>
            <w:left w:w="0" w:type="dxa"/>
            <w:bottom w:w="0" w:type="dxa"/>
            <w:right w:w="0" w:type="dxa"/>
          </w:tblCellMar>
        </w:tblPrEx>
        <w:trPr>
          <w:trHeight w:val="276" w:hRule="atLeast"/>
        </w:trPr>
        <w:tc>
          <w:tcPr>
            <w:tcW w:w="2782"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预算单位</w:t>
            </w:r>
          </w:p>
        </w:tc>
        <w:tc>
          <w:tcPr>
            <w:tcW w:w="7178"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攀枝花市仁和区总工会</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预算执行情况(万元)</w:t>
            </w: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预算数: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0.12万元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执行数: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0.12万元</w:t>
            </w:r>
          </w:p>
        </w:tc>
      </w:tr>
      <w:tr>
        <w:tblPrEx>
          <w:tblCellMar>
            <w:top w:w="0" w:type="dxa"/>
            <w:left w:w="0" w:type="dxa"/>
            <w:bottom w:w="0" w:type="dxa"/>
            <w:right w:w="0" w:type="dxa"/>
          </w:tblCellMar>
        </w:tblPrEx>
        <w:trPr>
          <w:trHeight w:val="276"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0.12万元</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其中-财政拨款: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0.12万元</w:t>
            </w:r>
          </w:p>
        </w:tc>
      </w:tr>
      <w:tr>
        <w:tblPrEx>
          <w:tblCellMar>
            <w:top w:w="0" w:type="dxa"/>
            <w:left w:w="0" w:type="dxa"/>
            <w:bottom w:w="0" w:type="dxa"/>
            <w:right w:w="0" w:type="dxa"/>
          </w:tblCellMar>
        </w:tblPrEx>
        <w:trPr>
          <w:trHeight w:val="1511"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2392"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0</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其它资金:</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jc w:val="center"/>
              <w:rPr>
                <w:rFonts w:ascii="宋体" w:hAnsi="宋体" w:cs="宋体"/>
                <w:color w:val="000000"/>
                <w:sz w:val="24"/>
              </w:rPr>
            </w:pPr>
            <w:r>
              <w:rPr>
                <w:rFonts w:hint="eastAsia" w:ascii="宋体" w:hAnsi="宋体" w:cs="宋体"/>
                <w:color w:val="000000"/>
                <w:sz w:val="24"/>
              </w:rPr>
              <w:t>0</w:t>
            </w:r>
          </w:p>
        </w:tc>
      </w:tr>
      <w:tr>
        <w:tblPrEx>
          <w:tblCellMar>
            <w:top w:w="0" w:type="dxa"/>
            <w:left w:w="0" w:type="dxa"/>
            <w:bottom w:w="0" w:type="dxa"/>
            <w:right w:w="0" w:type="dxa"/>
          </w:tblCellMar>
        </w:tblPrEx>
        <w:trPr>
          <w:trHeight w:val="276"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年度目标完成情况</w:t>
            </w: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预期目标</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实际完成目标</w:t>
            </w:r>
          </w:p>
        </w:tc>
      </w:tr>
      <w:tr>
        <w:tblPrEx>
          <w:tblCellMar>
            <w:top w:w="0" w:type="dxa"/>
            <w:left w:w="0" w:type="dxa"/>
            <w:bottom w:w="0" w:type="dxa"/>
            <w:right w:w="0" w:type="dxa"/>
          </w:tblCellMar>
        </w:tblPrEx>
        <w:trPr>
          <w:trHeight w:val="1159"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4784" w:type="dxa"/>
            <w:gridSpan w:val="3"/>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ind w:firstLine="480" w:firstLineChars="200"/>
              <w:textAlignment w:val="center"/>
              <w:rPr>
                <w:rFonts w:ascii="宋体" w:hAnsi="宋体" w:cs="宋体"/>
                <w:color w:val="000000"/>
                <w:sz w:val="24"/>
              </w:rPr>
            </w:pPr>
            <w:r>
              <w:rPr>
                <w:rFonts w:hint="eastAsia" w:ascii="宋体" w:hAnsi="宋体" w:cs="宋体"/>
                <w:color w:val="000000"/>
                <w:sz w:val="24"/>
              </w:rPr>
              <w:t>按照《攀枝花市人民政府办公室关于印发进一步规范和完善劳模有关待遇的意见的通知》，为1名改制前退休省级劳模发放荣誉津贴0.12万元。</w:t>
            </w:r>
          </w:p>
        </w:tc>
        <w:tc>
          <w:tcPr>
            <w:tcW w:w="4786" w:type="dxa"/>
            <w:gridSpan w:val="2"/>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abs>
                <w:tab w:val="left" w:pos="1113"/>
              </w:tabs>
              <w:ind w:firstLine="480" w:firstLineChars="200"/>
              <w:textAlignment w:val="center"/>
              <w:rPr>
                <w:rFonts w:ascii="宋体" w:hAnsi="宋体" w:cs="宋体"/>
                <w:color w:val="000000"/>
                <w:sz w:val="24"/>
              </w:rPr>
            </w:pPr>
            <w:r>
              <w:rPr>
                <w:rFonts w:hint="eastAsia" w:ascii="宋体" w:hAnsi="宋体" w:cs="宋体"/>
                <w:color w:val="000000"/>
                <w:sz w:val="24"/>
              </w:rPr>
              <w:t>按照《攀枝花市人民政府办公室关于印发进一步规范和完善劳模有关待遇的意见的通知》，为1名改制前退休省级劳模发放荣誉津贴0.12万元。</w:t>
            </w:r>
          </w:p>
        </w:tc>
      </w:tr>
      <w:tr>
        <w:tblPrEx>
          <w:tblCellMar>
            <w:top w:w="0" w:type="dxa"/>
            <w:left w:w="0" w:type="dxa"/>
            <w:bottom w:w="0" w:type="dxa"/>
            <w:right w:w="0" w:type="dxa"/>
          </w:tblCellMar>
        </w:tblPrEx>
        <w:trPr>
          <w:trHeight w:val="1042" w:hRule="atLeast"/>
        </w:trPr>
        <w:tc>
          <w:tcPr>
            <w:tcW w:w="390" w:type="dxa"/>
            <w:vMerge w:val="restart"/>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绩效指标完成情况</w:t>
            </w: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一级指标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二级指标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三级指标</w:t>
            </w: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预期指标值(包含数字及文字描述)</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实际完成指标值(包含数字及文字描述)</w:t>
            </w:r>
          </w:p>
        </w:tc>
      </w:tr>
      <w:tr>
        <w:tblPrEx>
          <w:tblCellMar>
            <w:top w:w="0" w:type="dxa"/>
            <w:left w:w="0" w:type="dxa"/>
            <w:bottom w:w="0" w:type="dxa"/>
            <w:right w:w="0" w:type="dxa"/>
          </w:tblCellMar>
        </w:tblPrEx>
        <w:trPr>
          <w:trHeight w:val="953"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数量指标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tabs>
                <w:tab w:val="left" w:pos="495"/>
              </w:tabs>
              <w:jc w:val="left"/>
              <w:textAlignment w:val="center"/>
              <w:rPr>
                <w:rFonts w:ascii="宋体" w:hAnsi="宋体" w:cs="宋体"/>
                <w:color w:val="000000"/>
                <w:sz w:val="24"/>
              </w:rPr>
            </w:pPr>
            <w:r>
              <w:rPr>
                <w:rFonts w:hint="eastAsia" w:ascii="宋体" w:hAnsi="宋体" w:cs="宋体"/>
                <w:color w:val="000000"/>
                <w:sz w:val="24"/>
              </w:rPr>
              <w:tab/>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p>
        </w:tc>
      </w:tr>
      <w:tr>
        <w:tblPrEx>
          <w:tblCellMar>
            <w:top w:w="0" w:type="dxa"/>
            <w:left w:w="0" w:type="dxa"/>
            <w:bottom w:w="0" w:type="dxa"/>
            <w:right w:w="0" w:type="dxa"/>
          </w:tblCellMar>
        </w:tblPrEx>
        <w:trPr>
          <w:trHeight w:val="1297"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质量指标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1200元/人/年</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1200元/人/年</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项目完成指标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时效指标</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2018年12月31日前发放。</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2018年12月31日前发放。</w:t>
            </w:r>
          </w:p>
        </w:tc>
      </w:tr>
      <w:tr>
        <w:tblPrEx>
          <w:tblCellMar>
            <w:top w:w="0" w:type="dxa"/>
            <w:left w:w="0" w:type="dxa"/>
            <w:bottom w:w="0" w:type="dxa"/>
            <w:right w:w="0" w:type="dxa"/>
          </w:tblCellMar>
        </w:tblPrEx>
        <w:trPr>
          <w:trHeight w:val="1042"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效益指标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社会效益</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造尊重劳模、学习劳模的社会氛围；对劳模的关怀、关爱。</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left"/>
              <w:textAlignment w:val="center"/>
              <w:rPr>
                <w:rFonts w:ascii="宋体" w:hAnsi="宋体" w:cs="宋体"/>
                <w:color w:val="000000"/>
                <w:sz w:val="24"/>
              </w:rPr>
            </w:pPr>
            <w:r>
              <w:rPr>
                <w:rFonts w:hint="eastAsia" w:ascii="宋体" w:hAnsi="宋体" w:cs="宋体"/>
                <w:color w:val="000000"/>
                <w:sz w:val="24"/>
              </w:rPr>
              <w:t>造尊重劳模、学习劳模的社会氛围；对劳模的关怀、关爱。</w:t>
            </w:r>
          </w:p>
        </w:tc>
      </w:tr>
      <w:tr>
        <w:tblPrEx>
          <w:tblCellMar>
            <w:top w:w="0" w:type="dxa"/>
            <w:left w:w="0" w:type="dxa"/>
            <w:bottom w:w="0" w:type="dxa"/>
            <w:right w:w="0" w:type="dxa"/>
          </w:tblCellMar>
        </w:tblPrEx>
        <w:trPr>
          <w:trHeight w:val="1050" w:hRule="atLeast"/>
        </w:trPr>
        <w:tc>
          <w:tcPr>
            <w:tcW w:w="390" w:type="dxa"/>
            <w:vMerge w:val="continue"/>
            <w:tcBorders>
              <w:top w:val="single" w:color="000000" w:sz="4" w:space="0"/>
              <w:left w:val="single" w:color="000000" w:sz="4" w:space="0"/>
              <w:bottom w:val="single" w:color="000000" w:sz="4" w:space="0"/>
              <w:right w:val="single" w:color="000000" w:sz="4" w:space="0"/>
            </w:tcBorders>
            <w:vAlign w:val="center"/>
          </w:tcPr>
          <w:p>
            <w:pPr>
              <w:widowControl/>
              <w:jc w:val="left"/>
              <w:rPr>
                <w:rFonts w:ascii="宋体" w:hAnsi="宋体" w:cs="宋体"/>
                <w:color w:val="000000"/>
                <w:sz w:val="24"/>
              </w:rPr>
            </w:pPr>
          </w:p>
        </w:tc>
        <w:tc>
          <w:tcPr>
            <w:tcW w:w="1367"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kern w:val="0"/>
                <w:sz w:val="24"/>
              </w:rPr>
              <w:t>满意度指标</w:t>
            </w:r>
          </w:p>
        </w:tc>
        <w:tc>
          <w:tcPr>
            <w:tcW w:w="1025"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p>
        </w:tc>
        <w:tc>
          <w:tcPr>
            <w:tcW w:w="2394"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tc>
        <w:tc>
          <w:tcPr>
            <w:tcW w:w="2392" w:type="dxa"/>
            <w:tcBorders>
              <w:top w:val="single" w:color="000000" w:sz="4" w:space="0"/>
              <w:left w:val="single" w:color="000000" w:sz="4" w:space="0"/>
              <w:bottom w:val="single" w:color="000000" w:sz="4" w:space="0"/>
              <w:right w:val="single" w:color="000000" w:sz="4" w:space="0"/>
            </w:tcBorders>
            <w:tcMar>
              <w:top w:w="15" w:type="dxa"/>
              <w:left w:w="15" w:type="dxa"/>
              <w:bottom w:w="0" w:type="dxa"/>
              <w:right w:w="15" w:type="dxa"/>
            </w:tcMar>
            <w:vAlign w:val="center"/>
          </w:tcPr>
          <w:p>
            <w:pPr>
              <w:widowControl/>
              <w:jc w:val="center"/>
              <w:textAlignment w:val="center"/>
              <w:rPr>
                <w:rFonts w:ascii="宋体" w:hAnsi="宋体" w:cs="宋体"/>
                <w:color w:val="000000"/>
                <w:sz w:val="24"/>
              </w:rPr>
            </w:pPr>
            <w:r>
              <w:rPr>
                <w:rFonts w:hint="eastAsia" w:ascii="宋体" w:hAnsi="宋体" w:cs="宋体"/>
                <w:color w:val="000000"/>
                <w:sz w:val="24"/>
              </w:rPr>
              <w:t>100%</w:t>
            </w:r>
          </w:p>
          <w:p>
            <w:pPr>
              <w:widowControl/>
              <w:jc w:val="center"/>
              <w:textAlignment w:val="center"/>
              <w:rPr>
                <w:rFonts w:ascii="宋体" w:hAnsi="宋体" w:cs="宋体"/>
                <w:color w:val="000000"/>
                <w:sz w:val="24"/>
              </w:rPr>
            </w:pPr>
          </w:p>
        </w:tc>
      </w:tr>
    </w:tbl>
    <w:p>
      <w:pPr>
        <w:spacing w:line="580" w:lineRule="exact"/>
        <w:rPr>
          <w:rFonts w:ascii="仿宋_GB2312" w:hAnsi="仿宋_GB2312" w:eastAsia="仿宋_GB2312" w:cs="仿宋_GB2312"/>
          <w:sz w:val="32"/>
          <w:szCs w:val="32"/>
        </w:rPr>
      </w:pPr>
    </w:p>
    <w:p>
      <w:pPr>
        <w:numPr>
          <w:ilvl w:val="0"/>
          <w:numId w:val="3"/>
        </w:numPr>
        <w:spacing w:line="580" w:lineRule="exact"/>
        <w:ind w:firstLine="643" w:firstLineChars="200"/>
        <w:rPr>
          <w:rFonts w:ascii="仿宋" w:hAnsi="仿宋" w:eastAsia="仿宋" w:cs="仿宋_GB2312"/>
          <w:sz w:val="32"/>
          <w:szCs w:val="32"/>
        </w:rPr>
      </w:pPr>
      <w:r>
        <w:rPr>
          <w:rFonts w:hint="eastAsia" w:ascii="仿宋" w:hAnsi="仿宋" w:eastAsia="仿宋" w:cs="楷体_GB2312"/>
          <w:b/>
          <w:bCs/>
          <w:sz w:val="32"/>
          <w:szCs w:val="32"/>
        </w:rPr>
        <w:t>部门开展绩效评价结果。</w:t>
      </w:r>
    </w:p>
    <w:p>
      <w:pPr>
        <w:spacing w:line="58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本部门按要求对2018年部门整体支出绩效评价情况开展自评，《仁和区总工会2018年部门整体支出绩效评价报告》见附件。</w:t>
      </w:r>
    </w:p>
    <w:p>
      <w:pPr>
        <w:spacing w:line="600" w:lineRule="exact"/>
        <w:ind w:firstLine="800" w:firstLineChars="250"/>
        <w:outlineLvl w:val="1"/>
        <w:rPr>
          <w:rStyle w:val="15"/>
          <w:rFonts w:ascii="黑体" w:hAnsi="黑体" w:eastAsia="黑体"/>
        </w:rPr>
      </w:pPr>
      <w:bookmarkStart w:id="50" w:name="_Toc15396612"/>
      <w:bookmarkStart w:id="51" w:name="_Toc15377221"/>
      <w:r>
        <w:rPr>
          <w:rFonts w:hint="eastAsia" w:ascii="黑体" w:hAnsi="黑体" w:eastAsia="黑体"/>
          <w:color w:val="000000"/>
          <w:sz w:val="32"/>
          <w:szCs w:val="32"/>
        </w:rPr>
        <w:t>十</w:t>
      </w:r>
      <w:r>
        <w:rPr>
          <w:rStyle w:val="15"/>
          <w:rFonts w:hint="eastAsia" w:ascii="黑体" w:hAnsi="黑体" w:eastAsia="黑体"/>
        </w:rPr>
        <w:t>一、</w:t>
      </w:r>
      <w:r>
        <w:rPr>
          <w:rStyle w:val="15"/>
          <w:rFonts w:hint="eastAsia" w:ascii="黑体" w:hAnsi="黑体" w:eastAsia="黑体"/>
          <w:b w:val="0"/>
        </w:rPr>
        <w:t>其他重要事项的情况说明</w:t>
      </w:r>
      <w:bookmarkEnd w:id="50"/>
      <w:bookmarkEnd w:id="51"/>
    </w:p>
    <w:p>
      <w:pPr>
        <w:spacing w:line="600" w:lineRule="exact"/>
        <w:ind w:firstLine="643" w:firstLineChars="200"/>
        <w:outlineLvl w:val="2"/>
        <w:rPr>
          <w:rFonts w:ascii="仿宋" w:hAnsi="仿宋" w:eastAsia="仿宋"/>
          <w:color w:val="000000"/>
          <w:sz w:val="32"/>
          <w:szCs w:val="32"/>
        </w:rPr>
      </w:pPr>
      <w:bookmarkStart w:id="52" w:name="_Toc15377222"/>
      <w:r>
        <w:rPr>
          <w:rFonts w:hint="eastAsia" w:ascii="仿宋" w:hAnsi="仿宋" w:eastAsia="仿宋"/>
          <w:b/>
          <w:color w:val="000000"/>
          <w:sz w:val="32"/>
          <w:szCs w:val="32"/>
        </w:rPr>
        <w:t>（一）机关运行经费支出情况</w:t>
      </w:r>
      <w:bookmarkEnd w:id="52"/>
    </w:p>
    <w:p>
      <w:pPr>
        <w:spacing w:line="600" w:lineRule="exact"/>
        <w:ind w:firstLine="640" w:firstLineChars="200"/>
        <w:rPr>
          <w:rFonts w:ascii="仿宋" w:hAnsi="仿宋" w:eastAsia="仿宋"/>
          <w:b/>
          <w:sz w:val="32"/>
          <w:szCs w:val="32"/>
        </w:rPr>
      </w:pPr>
      <w:r>
        <w:rPr>
          <w:rFonts w:ascii="仿宋_GB2312" w:eastAsia="仿宋_GB2312"/>
          <w:sz w:val="32"/>
          <w:szCs w:val="32"/>
        </w:rPr>
        <w:t>201</w:t>
      </w:r>
      <w:r>
        <w:rPr>
          <w:rFonts w:hint="eastAsia" w:ascii="仿宋_GB2312" w:eastAsia="仿宋_GB2312"/>
          <w:sz w:val="32"/>
          <w:szCs w:val="32"/>
        </w:rPr>
        <w:t>8年，仁和区总工会机关运行经费支出79.87万元，比</w:t>
      </w:r>
      <w:r>
        <w:rPr>
          <w:rFonts w:ascii="仿宋_GB2312" w:eastAsia="仿宋_GB2312"/>
          <w:sz w:val="32"/>
          <w:szCs w:val="32"/>
        </w:rPr>
        <w:t>201</w:t>
      </w:r>
      <w:r>
        <w:rPr>
          <w:rFonts w:hint="eastAsia" w:ascii="仿宋_GB2312" w:eastAsia="仿宋_GB2312"/>
          <w:sz w:val="32"/>
          <w:szCs w:val="32"/>
        </w:rPr>
        <w:t>7年增加1.36万元，增长1.73</w:t>
      </w:r>
      <w:r>
        <w:rPr>
          <w:rFonts w:ascii="仿宋_GB2312" w:eastAsia="仿宋_GB2312"/>
          <w:sz w:val="32"/>
          <w:szCs w:val="32"/>
        </w:rPr>
        <w:t>%</w:t>
      </w:r>
      <w:r>
        <w:rPr>
          <w:rFonts w:hint="eastAsia" w:ascii="仿宋_GB2312" w:eastAsia="仿宋_GB2312"/>
          <w:sz w:val="32"/>
          <w:szCs w:val="32"/>
        </w:rPr>
        <w:t>。主要原因是公务接待有所增加。</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3" w:name="_Toc15377223"/>
      <w:r>
        <w:rPr>
          <w:rFonts w:hint="eastAsia" w:ascii="仿宋" w:hAnsi="仿宋" w:eastAsia="仿宋"/>
          <w:b/>
          <w:color w:val="000000"/>
          <w:sz w:val="32"/>
          <w:szCs w:val="32"/>
        </w:rPr>
        <w:t>（二）政府采购支出情况</w:t>
      </w:r>
      <w:bookmarkEnd w:id="53"/>
    </w:p>
    <w:p>
      <w:pPr>
        <w:spacing w:line="600" w:lineRule="exact"/>
        <w:ind w:firstLine="640" w:firstLineChars="200"/>
        <w:rPr>
          <w:rFonts w:ascii="仿宋_GB2312" w:eastAsia="仿宋_GB2312"/>
          <w:color w:val="000000"/>
          <w:sz w:val="32"/>
          <w:szCs w:val="32"/>
        </w:rPr>
      </w:pPr>
      <w:r>
        <w:rPr>
          <w:rFonts w:ascii="仿宋_GB2312" w:eastAsia="仿宋_GB2312"/>
          <w:color w:val="000000"/>
          <w:sz w:val="32"/>
          <w:szCs w:val="32"/>
        </w:rPr>
        <w:t>201</w:t>
      </w:r>
      <w:r>
        <w:rPr>
          <w:rFonts w:hint="eastAsia" w:ascii="仿宋_GB2312" w:eastAsia="仿宋_GB2312"/>
          <w:color w:val="000000"/>
          <w:sz w:val="32"/>
          <w:szCs w:val="32"/>
        </w:rPr>
        <w:t>8年，无政府采购支出。</w:t>
      </w:r>
    </w:p>
    <w:p>
      <w:pPr>
        <w:autoSpaceDE w:val="0"/>
        <w:autoSpaceDN w:val="0"/>
        <w:adjustRightInd w:val="0"/>
        <w:spacing w:line="600" w:lineRule="exact"/>
        <w:ind w:firstLine="643" w:firstLineChars="200"/>
        <w:jc w:val="left"/>
        <w:outlineLvl w:val="2"/>
        <w:rPr>
          <w:rFonts w:ascii="仿宋" w:hAnsi="仿宋" w:eastAsia="仿宋"/>
          <w:b/>
          <w:color w:val="000000"/>
          <w:sz w:val="32"/>
          <w:szCs w:val="32"/>
        </w:rPr>
      </w:pPr>
      <w:bookmarkStart w:id="54" w:name="_Toc15377224"/>
      <w:r>
        <w:rPr>
          <w:rFonts w:hint="eastAsia" w:ascii="仿宋" w:hAnsi="仿宋" w:eastAsia="仿宋"/>
          <w:b/>
          <w:color w:val="000000"/>
          <w:sz w:val="32"/>
          <w:szCs w:val="32"/>
        </w:rPr>
        <w:t>（三）国有资产占有使用情况</w:t>
      </w:r>
      <w:bookmarkEnd w:id="54"/>
    </w:p>
    <w:p>
      <w:pPr>
        <w:autoSpaceDE w:val="0"/>
        <w:autoSpaceDN w:val="0"/>
        <w:adjustRightInd w:val="0"/>
        <w:spacing w:line="600" w:lineRule="exact"/>
        <w:ind w:firstLine="640" w:firstLineChars="200"/>
        <w:jc w:val="left"/>
        <w:rPr>
          <w:rFonts w:ascii="仿宋_GB2312" w:eastAsia="仿宋_GB2312"/>
          <w:color w:val="000000"/>
          <w:sz w:val="32"/>
          <w:szCs w:val="32"/>
        </w:rPr>
      </w:pPr>
      <w:r>
        <w:rPr>
          <w:rFonts w:hint="eastAsia" w:ascii="仿宋_GB2312" w:eastAsia="仿宋_GB2312"/>
          <w:color w:val="000000"/>
          <w:sz w:val="32"/>
          <w:szCs w:val="32"/>
        </w:rPr>
        <w:t>截至</w:t>
      </w:r>
      <w:r>
        <w:rPr>
          <w:rFonts w:ascii="仿宋_GB2312" w:eastAsia="仿宋_GB2312"/>
          <w:color w:val="000000"/>
          <w:sz w:val="32"/>
          <w:szCs w:val="32"/>
        </w:rPr>
        <w:t>201</w:t>
      </w:r>
      <w:r>
        <w:rPr>
          <w:rFonts w:hint="eastAsia" w:ascii="仿宋_GB2312" w:eastAsia="仿宋_GB2312"/>
          <w:color w:val="000000"/>
          <w:sz w:val="32"/>
          <w:szCs w:val="32"/>
        </w:rPr>
        <w:t>8年</w:t>
      </w:r>
      <w:r>
        <w:rPr>
          <w:rFonts w:ascii="仿宋_GB2312" w:eastAsia="仿宋_GB2312"/>
          <w:color w:val="000000"/>
          <w:sz w:val="32"/>
          <w:szCs w:val="32"/>
        </w:rPr>
        <w:t>12</w:t>
      </w:r>
      <w:r>
        <w:rPr>
          <w:rFonts w:hint="eastAsia" w:ascii="仿宋_GB2312" w:eastAsia="仿宋_GB2312"/>
          <w:color w:val="000000"/>
          <w:sz w:val="32"/>
          <w:szCs w:val="32"/>
        </w:rPr>
        <w:t>月</w:t>
      </w:r>
      <w:r>
        <w:rPr>
          <w:rFonts w:ascii="仿宋_GB2312" w:eastAsia="仿宋_GB2312"/>
          <w:color w:val="000000"/>
          <w:sz w:val="32"/>
          <w:szCs w:val="32"/>
        </w:rPr>
        <w:t>31</w:t>
      </w:r>
      <w:r>
        <w:rPr>
          <w:rFonts w:hint="eastAsia" w:ascii="仿宋_GB2312" w:eastAsia="仿宋_GB2312"/>
          <w:color w:val="000000"/>
          <w:sz w:val="32"/>
          <w:szCs w:val="32"/>
        </w:rPr>
        <w:t>日，无公务车辆。</w:t>
      </w:r>
    </w:p>
    <w:p>
      <w:pPr>
        <w:numPr>
          <w:ilvl w:val="0"/>
          <w:numId w:val="5"/>
        </w:numPr>
        <w:spacing w:line="600" w:lineRule="exact"/>
        <w:ind w:firstLine="663" w:firstLineChars="150"/>
        <w:jc w:val="center"/>
        <w:outlineLvl w:val="0"/>
        <w:rPr>
          <w:rStyle w:val="14"/>
          <w:rFonts w:ascii="黑体" w:hAnsi="黑体" w:eastAsia="黑体"/>
          <w:b w:val="0"/>
        </w:rPr>
      </w:pPr>
      <w:bookmarkStart w:id="55" w:name="_Toc15377225"/>
      <w:bookmarkStart w:id="56" w:name="_Toc15396613"/>
      <w:r>
        <w:rPr>
          <w:rFonts w:hint="eastAsia" w:ascii="黑体" w:hAnsi="黑体" w:eastAsia="黑体"/>
          <w:b/>
          <w:color w:val="000000"/>
          <w:sz w:val="44"/>
          <w:szCs w:val="44"/>
        </w:rPr>
        <w:t>名</w:t>
      </w:r>
      <w:r>
        <w:rPr>
          <w:rStyle w:val="14"/>
          <w:rFonts w:hint="eastAsia" w:ascii="黑体" w:hAnsi="黑体" w:eastAsia="黑体"/>
          <w:b w:val="0"/>
        </w:rPr>
        <w:t>词解释</w:t>
      </w:r>
      <w:bookmarkEnd w:id="55"/>
      <w:bookmarkEnd w:id="56"/>
    </w:p>
    <w:p>
      <w:pPr>
        <w:spacing w:line="600" w:lineRule="exact"/>
        <w:jc w:val="left"/>
        <w:rPr>
          <w:rFonts w:ascii="宋体"/>
          <w:b/>
          <w:color w:val="000000"/>
          <w:sz w:val="44"/>
          <w:szCs w:val="44"/>
        </w:rPr>
      </w:pPr>
    </w:p>
    <w:p>
      <w:pPr>
        <w:pStyle w:val="18"/>
        <w:spacing w:line="560" w:lineRule="exact"/>
        <w:ind w:firstLine="640" w:firstLineChars="200"/>
        <w:rPr>
          <w:rFonts w:ascii="仿宋_GB2312" w:eastAsia="仿宋_GB2312"/>
          <w:sz w:val="32"/>
          <w:szCs w:val="32"/>
        </w:rPr>
      </w:pPr>
      <w:r>
        <w:rPr>
          <w:rFonts w:ascii="仿宋_GB2312" w:eastAsia="仿宋_GB2312"/>
          <w:sz w:val="32"/>
          <w:szCs w:val="32"/>
        </w:rPr>
        <w:t>1.</w:t>
      </w:r>
      <w:r>
        <w:rPr>
          <w:rFonts w:hint="eastAsia" w:ascii="仿宋_GB2312" w:eastAsia="仿宋_GB2312"/>
          <w:sz w:val="32"/>
          <w:szCs w:val="32"/>
        </w:rPr>
        <w:t>财政拨款收入：指单位从同级财政部门取得的财政预算资金。</w:t>
      </w:r>
    </w:p>
    <w:p>
      <w:pPr>
        <w:spacing w:line="600" w:lineRule="exact"/>
        <w:ind w:firstLine="643" w:firstLineChars="200"/>
        <w:rPr>
          <w:rStyle w:val="11"/>
          <w:rFonts w:ascii="仿宋_GB2312" w:hAnsi="仿宋_GB2312" w:eastAsia="仿宋_GB2312" w:cs="仿宋_GB2312"/>
          <w:b w:val="0"/>
          <w:color w:val="000000"/>
          <w:sz w:val="32"/>
          <w:szCs w:val="32"/>
        </w:rPr>
      </w:pPr>
      <w:r>
        <w:rPr>
          <w:rStyle w:val="11"/>
          <w:rFonts w:hint="eastAsia" w:ascii="仿宋" w:hAnsi="仿宋" w:eastAsia="仿宋"/>
          <w:bCs/>
          <w:color w:val="000000"/>
          <w:sz w:val="32"/>
          <w:szCs w:val="32"/>
        </w:rPr>
        <w:t>2</w:t>
      </w:r>
      <w:r>
        <w:rPr>
          <w:rStyle w:val="11"/>
          <w:rFonts w:ascii="仿宋" w:hAnsi="仿宋" w:eastAsia="仿宋"/>
          <w:bCs/>
          <w:color w:val="000000"/>
          <w:sz w:val="32"/>
          <w:szCs w:val="32"/>
        </w:rPr>
        <w:t>.</w:t>
      </w:r>
      <w:r>
        <w:rPr>
          <w:rStyle w:val="11"/>
          <w:rFonts w:hint="eastAsia" w:ascii="仿宋_GB2312" w:hAnsi="仿宋_GB2312" w:eastAsia="仿宋_GB2312" w:cs="仿宋_GB2312"/>
          <w:b w:val="0"/>
          <w:color w:val="000000"/>
          <w:sz w:val="32"/>
          <w:szCs w:val="32"/>
        </w:rPr>
        <w:t>一般公共服务支出（类）群众团体事务（款）行政运行（项）:反映行政单位的基本支出。</w:t>
      </w:r>
    </w:p>
    <w:p>
      <w:pPr>
        <w:spacing w:line="600" w:lineRule="exact"/>
        <w:ind w:firstLine="640" w:firstLineChars="200"/>
        <w:rPr>
          <w:rFonts w:ascii="仿宋_GB2312" w:hAnsi="仿宋_GB2312" w:eastAsia="仿宋_GB2312" w:cs="仿宋_GB2312"/>
          <w:color w:val="000000"/>
          <w:sz w:val="32"/>
          <w:szCs w:val="32"/>
        </w:rPr>
      </w:pPr>
      <w:r>
        <w:rPr>
          <w:rStyle w:val="11"/>
          <w:rFonts w:hint="eastAsia" w:ascii="仿宋_GB2312" w:hAnsi="仿宋_GB2312" w:eastAsia="仿宋_GB2312" w:cs="仿宋_GB2312"/>
          <w:b w:val="0"/>
          <w:color w:val="000000"/>
          <w:sz w:val="32"/>
          <w:szCs w:val="32"/>
        </w:rPr>
        <w:t>3.一般公共服务支出（类）群众团体事务（款）其他群团体事务支出（项）:反映除上述项目以外其他用于群众团体事务方面的支出。</w:t>
      </w:r>
    </w:p>
    <w:p>
      <w:pPr>
        <w:spacing w:line="600" w:lineRule="exact"/>
        <w:ind w:firstLine="640" w:firstLineChars="200"/>
        <w:rPr>
          <w:rFonts w:ascii="仿宋_GB2312" w:hAnsi="仿宋_GB2312" w:eastAsia="仿宋_GB2312" w:cs="仿宋_GB2312"/>
          <w:color w:val="000000"/>
          <w:sz w:val="32"/>
          <w:szCs w:val="32"/>
        </w:rPr>
      </w:pPr>
      <w:r>
        <w:rPr>
          <w:rStyle w:val="11"/>
          <w:rFonts w:hint="eastAsia" w:ascii="仿宋_GB2312" w:hAnsi="仿宋_GB2312" w:eastAsia="仿宋_GB2312" w:cs="仿宋_GB2312"/>
          <w:b w:val="0"/>
          <w:color w:val="000000"/>
          <w:sz w:val="32"/>
          <w:szCs w:val="32"/>
        </w:rPr>
        <w:t>4.社会保障和就业支出（类）行政事业单位离退休（款）未归口管理的行政单位离退休（项）:反映未实行归口管理的行政单位开支的离退休支出。</w:t>
      </w:r>
    </w:p>
    <w:p>
      <w:pPr>
        <w:spacing w:line="600" w:lineRule="exact"/>
        <w:ind w:firstLine="640" w:firstLineChars="200"/>
        <w:rPr>
          <w:rStyle w:val="11"/>
          <w:rFonts w:ascii="仿宋_GB2312" w:hAnsi="仿宋_GB2312" w:eastAsia="仿宋_GB2312" w:cs="仿宋_GB2312"/>
          <w:b w:val="0"/>
          <w:color w:val="000000"/>
          <w:sz w:val="32"/>
          <w:szCs w:val="32"/>
        </w:rPr>
      </w:pPr>
      <w:r>
        <w:rPr>
          <w:rStyle w:val="11"/>
          <w:rFonts w:hint="eastAsia" w:ascii="仿宋_GB2312" w:hAnsi="仿宋_GB2312" w:eastAsia="仿宋_GB2312" w:cs="仿宋_GB2312"/>
          <w:b w:val="0"/>
          <w:color w:val="000000"/>
          <w:sz w:val="32"/>
          <w:szCs w:val="32"/>
        </w:rPr>
        <w:t>5.社会保障和就业（类）行政事业单位离退休（款）机关事业单位基本养老保险缴费（项）:反映机关事业单位实施养老保险制度由单位缴纳的基本养老保险费支出。</w:t>
      </w:r>
    </w:p>
    <w:p>
      <w:pPr>
        <w:spacing w:line="600" w:lineRule="exact"/>
        <w:ind w:firstLine="640" w:firstLineChars="200"/>
        <w:rPr>
          <w:rStyle w:val="11"/>
          <w:rFonts w:ascii="仿宋_GB2312" w:hAnsi="仿宋_GB2312" w:eastAsia="仿宋_GB2312" w:cs="仿宋_GB2312"/>
          <w:b w:val="0"/>
          <w:color w:val="000000"/>
          <w:sz w:val="32"/>
          <w:szCs w:val="32"/>
        </w:rPr>
      </w:pPr>
      <w:r>
        <w:rPr>
          <w:rStyle w:val="11"/>
          <w:rFonts w:hint="eastAsia" w:ascii="仿宋_GB2312" w:hAnsi="仿宋_GB2312" w:eastAsia="仿宋_GB2312" w:cs="仿宋_GB2312"/>
          <w:b w:val="0"/>
          <w:color w:val="000000"/>
          <w:sz w:val="32"/>
          <w:szCs w:val="32"/>
        </w:rPr>
        <w:t>6.医疗卫生与计划生育（类）行政事业单位医疗（款）行政单位医疗（项）:反映行政事业单位医疗方面的支出。</w:t>
      </w:r>
    </w:p>
    <w:p>
      <w:pPr>
        <w:spacing w:line="600" w:lineRule="exact"/>
        <w:ind w:firstLine="640" w:firstLineChars="200"/>
        <w:rPr>
          <w:rStyle w:val="11"/>
          <w:rFonts w:ascii="仿宋_GB2312" w:hAnsi="仿宋_GB2312" w:eastAsia="仿宋_GB2312" w:cs="仿宋_GB2312"/>
          <w:b w:val="0"/>
          <w:color w:val="000000"/>
          <w:sz w:val="32"/>
          <w:szCs w:val="32"/>
        </w:rPr>
      </w:pPr>
      <w:r>
        <w:rPr>
          <w:rStyle w:val="11"/>
          <w:rFonts w:hint="eastAsia" w:ascii="仿宋_GB2312" w:hAnsi="仿宋_GB2312" w:eastAsia="仿宋_GB2312" w:cs="仿宋_GB2312"/>
          <w:b w:val="0"/>
          <w:color w:val="000000"/>
          <w:sz w:val="32"/>
          <w:szCs w:val="32"/>
        </w:rPr>
        <w:t>6.医疗卫生与计划生育（类）行政事业单位医疗（款）公务员医疗补助（项）:反映财政部门集中安排的公务员医疗补助经费。</w:t>
      </w:r>
    </w:p>
    <w:p>
      <w:pPr>
        <w:spacing w:line="600" w:lineRule="exact"/>
        <w:ind w:firstLine="640" w:firstLineChars="200"/>
        <w:rPr>
          <w:rStyle w:val="11"/>
          <w:rFonts w:ascii="仿宋_GB2312" w:hAnsi="仿宋_GB2312" w:eastAsia="仿宋_GB2312" w:cs="仿宋_GB2312"/>
          <w:b w:val="0"/>
          <w:color w:val="000000"/>
          <w:sz w:val="32"/>
          <w:szCs w:val="32"/>
        </w:rPr>
      </w:pPr>
      <w:r>
        <w:rPr>
          <w:rStyle w:val="11"/>
          <w:rFonts w:hint="eastAsia" w:ascii="仿宋_GB2312" w:hAnsi="仿宋_GB2312" w:eastAsia="仿宋_GB2312" w:cs="仿宋_GB2312"/>
          <w:b w:val="0"/>
          <w:color w:val="000000"/>
          <w:sz w:val="32"/>
          <w:szCs w:val="32"/>
        </w:rPr>
        <w:t>7.住房保障（类）住房改革（款）住房公积金（项）:反映行政事业单位按人力资源和社会保障部、财政部规定的基本工资和津贴补贴以及规定比例为职工缴纳的住房公积金。</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8</w:t>
      </w:r>
      <w:r>
        <w:rPr>
          <w:rFonts w:ascii="仿宋_GB2312" w:eastAsia="仿宋_GB2312"/>
          <w:color w:val="000000"/>
          <w:sz w:val="32"/>
          <w:szCs w:val="32"/>
        </w:rPr>
        <w:t>.</w:t>
      </w:r>
      <w:r>
        <w:rPr>
          <w:rFonts w:hint="eastAsia" w:ascii="仿宋_GB2312" w:eastAsia="仿宋_GB2312"/>
          <w:color w:val="000000"/>
          <w:sz w:val="32"/>
          <w:szCs w:val="32"/>
        </w:rPr>
        <w:t>基本支出：指为保障机构正常运转、完成日常工作任务而发生的人员支出和公用支出。</w:t>
      </w:r>
    </w:p>
    <w:p>
      <w:pPr>
        <w:ind w:firstLine="640" w:firstLineChars="200"/>
        <w:rPr>
          <w:rFonts w:ascii="仿宋_GB2312" w:eastAsia="仿宋_GB2312"/>
          <w:color w:val="000000"/>
          <w:sz w:val="32"/>
          <w:szCs w:val="32"/>
        </w:rPr>
      </w:pPr>
      <w:r>
        <w:rPr>
          <w:rFonts w:hint="eastAsia" w:ascii="仿宋_GB2312" w:eastAsia="仿宋_GB2312"/>
          <w:color w:val="000000"/>
          <w:sz w:val="32"/>
          <w:szCs w:val="32"/>
        </w:rPr>
        <w:t>9</w:t>
      </w:r>
      <w:r>
        <w:rPr>
          <w:rFonts w:ascii="仿宋_GB2312" w:eastAsia="仿宋_GB2312"/>
          <w:color w:val="000000"/>
          <w:sz w:val="32"/>
          <w:szCs w:val="32"/>
        </w:rPr>
        <w:t>.</w:t>
      </w:r>
      <w:r>
        <w:rPr>
          <w:rFonts w:hint="eastAsia" w:ascii="仿宋_GB2312" w:eastAsia="仿宋_GB2312"/>
          <w:color w:val="000000"/>
          <w:sz w:val="32"/>
          <w:szCs w:val="32"/>
        </w:rPr>
        <w:t>项目支出：指在基本支出之外为完成特定行政任务和事业发展目标所发生的支出。</w:t>
      </w:r>
    </w:p>
    <w:p>
      <w:pPr>
        <w:pStyle w:val="18"/>
        <w:spacing w:line="560" w:lineRule="exact"/>
        <w:ind w:firstLine="640" w:firstLineChars="200"/>
        <w:rPr>
          <w:rFonts w:ascii="仿宋_GB2312" w:eastAsia="仿宋_GB2312"/>
          <w:sz w:val="32"/>
          <w:szCs w:val="32"/>
        </w:rPr>
      </w:pPr>
      <w:r>
        <w:rPr>
          <w:rFonts w:hint="eastAsia" w:ascii="仿宋_GB2312" w:eastAsia="仿宋_GB2312"/>
          <w:sz w:val="32"/>
          <w:szCs w:val="32"/>
        </w:rPr>
        <w:t>1</w:t>
      </w:r>
      <w:r>
        <w:rPr>
          <w:rFonts w:ascii="仿宋_GB2312" w:eastAsia="仿宋_GB2312"/>
          <w:sz w:val="32"/>
          <w:szCs w:val="32"/>
        </w:rPr>
        <w:t>0.</w:t>
      </w:r>
      <w:r>
        <w:rPr>
          <w:rFonts w:hint="eastAsia" w:ascii="仿宋_GB2312" w:eastAsia="仿宋_GB2312"/>
          <w:sz w:val="32"/>
          <w:szCs w:val="32"/>
        </w:rPr>
        <w:t>“三公”经费：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pPr>
        <w:pStyle w:val="18"/>
        <w:spacing w:line="560" w:lineRule="exact"/>
        <w:ind w:firstLine="640" w:firstLineChars="200"/>
        <w:rPr>
          <w:rFonts w:ascii="仿宋_GB2312" w:eastAsia="仿宋_GB2312"/>
          <w:sz w:val="32"/>
          <w:szCs w:val="32"/>
        </w:rPr>
      </w:pPr>
      <w:r>
        <w:rPr>
          <w:rFonts w:hint="eastAsia" w:ascii="仿宋_GB2312" w:eastAsia="仿宋_GB2312"/>
          <w:sz w:val="32"/>
          <w:szCs w:val="32"/>
        </w:rPr>
        <w:t>11</w:t>
      </w:r>
      <w:r>
        <w:rPr>
          <w:rFonts w:ascii="仿宋_GB2312" w:eastAsia="仿宋_GB2312"/>
          <w:sz w:val="32"/>
          <w:szCs w:val="32"/>
        </w:rPr>
        <w:t>.</w:t>
      </w:r>
      <w:r>
        <w:rPr>
          <w:rFonts w:hint="eastAsia" w:ascii="仿宋_GB2312" w:eastAsia="仿宋_GB2312"/>
          <w:sz w:val="32"/>
          <w:szCs w:val="32"/>
        </w:rPr>
        <w:t>机关运行经费：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pPr>
        <w:pStyle w:val="18"/>
        <w:spacing w:line="560" w:lineRule="exact"/>
        <w:ind w:firstLine="640" w:firstLineChars="200"/>
        <w:rPr>
          <w:rFonts w:ascii="仿宋_GB2312" w:eastAsia="仿宋_GB2312" w:cs="黑体"/>
          <w:sz w:val="32"/>
          <w:szCs w:val="32"/>
        </w:rPr>
      </w:pPr>
    </w:p>
    <w:p>
      <w:pPr>
        <w:spacing w:line="600" w:lineRule="exact"/>
        <w:jc w:val="center"/>
        <w:outlineLvl w:val="0"/>
        <w:rPr>
          <w:rStyle w:val="14"/>
          <w:rFonts w:ascii="黑体" w:hAnsi="黑体" w:eastAsia="黑体"/>
          <w:b w:val="0"/>
        </w:rPr>
      </w:pPr>
      <w:bookmarkStart w:id="57" w:name="_Toc15377226"/>
      <w:r>
        <w:rPr>
          <w:rFonts w:ascii="宋体"/>
          <w:b/>
          <w:color w:val="000000"/>
          <w:sz w:val="44"/>
          <w:szCs w:val="44"/>
        </w:rPr>
        <w:br w:type="page"/>
      </w:r>
      <w:bookmarkStart w:id="58" w:name="_Toc15396614"/>
      <w:r>
        <w:rPr>
          <w:rFonts w:hint="eastAsia" w:ascii="黑体" w:hAnsi="黑体" w:eastAsia="黑体"/>
          <w:color w:val="000000"/>
          <w:sz w:val="44"/>
          <w:szCs w:val="44"/>
        </w:rPr>
        <w:t>第</w:t>
      </w:r>
      <w:r>
        <w:rPr>
          <w:rStyle w:val="14"/>
          <w:rFonts w:hint="eastAsia" w:ascii="黑体" w:hAnsi="黑体" w:eastAsia="黑体"/>
          <w:b w:val="0"/>
        </w:rPr>
        <w:t>四部分 附件</w:t>
      </w:r>
      <w:bookmarkEnd w:id="58"/>
    </w:p>
    <w:p>
      <w:pPr>
        <w:spacing w:line="600" w:lineRule="exact"/>
        <w:jc w:val="center"/>
        <w:outlineLvl w:val="0"/>
        <w:rPr>
          <w:rStyle w:val="14"/>
        </w:rPr>
      </w:pPr>
    </w:p>
    <w:p>
      <w:pPr>
        <w:pStyle w:val="3"/>
        <w:rPr>
          <w:rStyle w:val="14"/>
          <w:rFonts w:ascii="仿宋" w:hAnsi="仿宋" w:eastAsia="仿宋"/>
          <w:b w:val="0"/>
          <w:bCs w:val="0"/>
        </w:rPr>
      </w:pPr>
      <w:bookmarkStart w:id="59" w:name="_Toc15396615"/>
      <w:r>
        <w:rPr>
          <w:rStyle w:val="14"/>
          <w:rFonts w:hint="eastAsia" w:ascii="仿宋" w:hAnsi="仿宋" w:eastAsia="仿宋"/>
          <w:b w:val="0"/>
          <w:bCs w:val="0"/>
        </w:rPr>
        <w:t>附件1</w:t>
      </w:r>
      <w:bookmarkEnd w:id="59"/>
    </w:p>
    <w:p>
      <w:pPr>
        <w:spacing w:line="600" w:lineRule="exact"/>
        <w:jc w:val="center"/>
        <w:outlineLvl w:val="0"/>
        <w:rPr>
          <w:rFonts w:ascii="黑体" w:hAnsi="黑体" w:eastAsia="黑体" w:cs="方正小标宋简体"/>
          <w:sz w:val="36"/>
          <w:szCs w:val="36"/>
        </w:rPr>
      </w:pPr>
      <w:bookmarkStart w:id="60" w:name="_Toc15396616"/>
      <w:r>
        <w:rPr>
          <w:rFonts w:hint="eastAsia" w:ascii="黑体" w:hAnsi="黑体" w:eastAsia="黑体" w:cs="方正小标宋简体"/>
          <w:sz w:val="36"/>
          <w:szCs w:val="36"/>
        </w:rPr>
        <w:t>攀枝花市仁和区总工会2018年部门整体支出绩效</w:t>
      </w:r>
    </w:p>
    <w:p>
      <w:pPr>
        <w:spacing w:line="600" w:lineRule="exact"/>
        <w:jc w:val="center"/>
        <w:outlineLvl w:val="0"/>
        <w:rPr>
          <w:rFonts w:ascii="黑体" w:hAnsi="黑体" w:eastAsia="黑体" w:cs="方正小标宋简体"/>
          <w:sz w:val="36"/>
          <w:szCs w:val="36"/>
        </w:rPr>
      </w:pPr>
      <w:r>
        <w:rPr>
          <w:rFonts w:hint="eastAsia" w:ascii="黑体" w:hAnsi="黑体" w:eastAsia="黑体" w:cs="方正小标宋简体"/>
          <w:sz w:val="36"/>
          <w:szCs w:val="36"/>
        </w:rPr>
        <w:t>评价报告</w:t>
      </w:r>
      <w:bookmarkEnd w:id="60"/>
    </w:p>
    <w:p>
      <w:pPr>
        <w:spacing w:line="580" w:lineRule="exact"/>
        <w:ind w:firstLine="640" w:firstLineChars="200"/>
        <w:rPr>
          <w:rFonts w:ascii="黑体" w:hAnsi="黑体" w:eastAsia="黑体" w:cs="黑体"/>
          <w:sz w:val="32"/>
          <w:szCs w:val="32"/>
        </w:rPr>
      </w:pPr>
    </w:p>
    <w:p>
      <w:pPr>
        <w:spacing w:line="580" w:lineRule="exact"/>
        <w:ind w:firstLine="640" w:firstLineChars="200"/>
        <w:rPr>
          <w:rFonts w:ascii="黑体" w:hAnsi="黑体" w:eastAsia="黑体" w:cs="黑体"/>
          <w:sz w:val="32"/>
          <w:szCs w:val="32"/>
        </w:rPr>
      </w:pPr>
      <w:r>
        <w:rPr>
          <w:rFonts w:hint="eastAsia" w:ascii="黑体" w:hAnsi="黑体" w:eastAsia="黑体" w:cs="黑体"/>
          <w:sz w:val="32"/>
          <w:szCs w:val="32"/>
        </w:rPr>
        <w:t>一、部门（单位）概况</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（一）机构组成。</w:t>
      </w:r>
    </w:p>
    <w:p>
      <w:pPr>
        <w:spacing w:line="580" w:lineRule="exact"/>
        <w:ind w:firstLine="640" w:firstLineChars="200"/>
        <w:rPr>
          <w:rFonts w:ascii="仿宋" w:hAnsi="仿宋" w:eastAsia="仿宋" w:cs="仿宋_GB2312"/>
          <w:sz w:val="32"/>
          <w:szCs w:val="32"/>
        </w:rPr>
      </w:pPr>
      <w:r>
        <w:rPr>
          <w:rFonts w:ascii="仿宋" w:hAnsi="仿宋" w:eastAsia="仿宋" w:cs="仿宋"/>
          <w:color w:val="000000"/>
          <w:sz w:val="32"/>
          <w:szCs w:val="32"/>
          <w:shd w:val="clear" w:color="auto" w:fill="FFFFFF"/>
        </w:rPr>
        <w:t>内设机构情况：有</w:t>
      </w:r>
      <w:r>
        <w:rPr>
          <w:rFonts w:hint="eastAsia" w:ascii="仿宋" w:hAnsi="仿宋" w:eastAsia="仿宋" w:cs="仿宋"/>
          <w:color w:val="000000"/>
          <w:sz w:val="32"/>
          <w:szCs w:val="32"/>
          <w:shd w:val="clear" w:color="auto" w:fill="FFFFFF"/>
        </w:rPr>
        <w:t>2个内设机构，分别为办公室、财务经济保障部。</w:t>
      </w:r>
    </w:p>
    <w:p>
      <w:pPr>
        <w:pStyle w:val="8"/>
        <w:widowControl/>
        <w:shd w:val="clear" w:color="auto" w:fill="FFFFFF"/>
        <w:spacing w:before="93" w:beforeAutospacing="0" w:after="210" w:afterAutospacing="0" w:line="580" w:lineRule="atLeast"/>
        <w:ind w:firstLine="672"/>
        <w:rPr>
          <w:rFonts w:ascii="仿宋" w:hAnsi="仿宋" w:eastAsia="仿宋" w:cs="仿宋_GB2312"/>
          <w:sz w:val="32"/>
          <w:szCs w:val="32"/>
        </w:rPr>
      </w:pPr>
      <w:r>
        <w:rPr>
          <w:rFonts w:ascii="仿宋" w:hAnsi="仿宋" w:eastAsia="仿宋" w:cs="仿宋_GB2312"/>
          <w:sz w:val="32"/>
          <w:szCs w:val="32"/>
        </w:rPr>
        <w:t>（二）机构职能。</w:t>
      </w:r>
    </w:p>
    <w:p>
      <w:pPr>
        <w:pStyle w:val="8"/>
        <w:widowControl/>
        <w:shd w:val="clear" w:color="auto" w:fill="FFFFFF"/>
        <w:spacing w:before="93" w:beforeAutospacing="0" w:after="210" w:afterAutospacing="0" w:line="580" w:lineRule="atLeast"/>
        <w:ind w:firstLine="672"/>
        <w:rPr>
          <w:rFonts w:ascii="微软雅黑" w:hAnsi="微软雅黑" w:eastAsia="微软雅黑" w:cs="微软雅黑"/>
          <w:color w:val="333333"/>
        </w:rPr>
      </w:pPr>
      <w:r>
        <w:rPr>
          <w:rFonts w:ascii="仿宋_GB2312" w:hAnsi="仿宋_GB2312" w:eastAsia="仿宋_GB2312" w:cs="仿宋_GB2312"/>
          <w:color w:val="333333"/>
          <w:sz w:val="32"/>
          <w:szCs w:val="32"/>
          <w:shd w:val="clear" w:color="auto" w:fill="FFFFFF"/>
        </w:rPr>
        <w:t>1</w:t>
      </w:r>
      <w:r>
        <w:rPr>
          <w:rFonts w:hint="eastAsia" w:ascii="仿宋_GB2312" w:hAnsi="仿宋_GB2312" w:eastAsia="仿宋_GB2312" w:cs="仿宋_GB2312"/>
          <w:color w:val="333333"/>
          <w:sz w:val="32"/>
          <w:szCs w:val="32"/>
          <w:shd w:val="clear" w:color="auto" w:fill="FFFFFF"/>
        </w:rPr>
        <w:t>.</w:t>
      </w:r>
      <w:r>
        <w:rPr>
          <w:rFonts w:ascii="仿宋_GB2312" w:hAnsi="仿宋_GB2312" w:eastAsia="仿宋_GB2312" w:cs="仿宋_GB2312"/>
          <w:color w:val="333333"/>
          <w:sz w:val="32"/>
          <w:szCs w:val="32"/>
          <w:shd w:val="clear" w:color="auto" w:fill="FFFFFF"/>
        </w:rPr>
        <w:t>根据党的基本理论、基本路线、基本纲领和工运方针，围绕党和国家工作大局，贯彻执行全国工会代表大会、执委会和省、市、区工会代表大会、全委会确定的方针任务和作出的决议。</w:t>
      </w:r>
    </w:p>
    <w:p>
      <w:pPr>
        <w:pStyle w:val="8"/>
        <w:widowControl/>
        <w:shd w:val="clear" w:color="auto" w:fill="FFFFFF"/>
        <w:spacing w:before="93" w:beforeAutospacing="0" w:after="210" w:afterAutospacing="0" w:line="580" w:lineRule="atLeast"/>
        <w:ind w:firstLine="672"/>
        <w:rPr>
          <w:rFonts w:ascii="微软雅黑" w:hAnsi="微软雅黑" w:eastAsia="微软雅黑" w:cs="微软雅黑"/>
          <w:color w:val="333333"/>
        </w:rPr>
      </w:pPr>
      <w:r>
        <w:rPr>
          <w:rFonts w:hint="eastAsia" w:ascii="仿宋_GB2312" w:hAnsi="仿宋_GB2312" w:eastAsia="仿宋_GB2312" w:cs="仿宋_GB2312"/>
          <w:color w:val="333333"/>
          <w:sz w:val="32"/>
          <w:szCs w:val="32"/>
          <w:shd w:val="clear" w:color="auto" w:fill="FFFFFF"/>
        </w:rPr>
        <w:t>2.依照法律和《中国工会章程》，组织和指导各级工会坚定不移地推动党的全心全意依靠工人阶级根本指导方针的贯彻落实，进一步突出和履行维护职能。</w:t>
      </w:r>
    </w:p>
    <w:p>
      <w:pPr>
        <w:pStyle w:val="8"/>
        <w:widowControl/>
        <w:shd w:val="clear" w:color="auto" w:fill="FFFFFF"/>
        <w:spacing w:before="93" w:beforeAutospacing="0" w:after="210" w:afterAutospacing="0" w:line="580" w:lineRule="atLeast"/>
        <w:ind w:firstLine="672"/>
        <w:rPr>
          <w:rFonts w:ascii="微软雅黑" w:hAnsi="微软雅黑" w:eastAsia="微软雅黑" w:cs="微软雅黑"/>
          <w:color w:val="333333"/>
        </w:rPr>
      </w:pPr>
      <w:r>
        <w:rPr>
          <w:rFonts w:hint="eastAsia" w:ascii="仿宋_GB2312" w:hAnsi="仿宋_GB2312" w:eastAsia="仿宋_GB2312" w:cs="仿宋_GB2312"/>
          <w:color w:val="333333"/>
          <w:sz w:val="32"/>
          <w:szCs w:val="32"/>
          <w:shd w:val="clear" w:color="auto" w:fill="FFFFFF"/>
        </w:rPr>
        <w:t>3.对有关职工合法权益的重大问题进行调查研究，向区委、区政府和市总工会反映群众的思想、愿望和要求，提出意见和建议；对侵犯职工合法权益重大事件进行调查并提出处理意见；参与职工重大伤亡事故的调查处理。</w:t>
      </w:r>
    </w:p>
    <w:p>
      <w:pPr>
        <w:pStyle w:val="8"/>
        <w:widowControl/>
        <w:shd w:val="clear" w:color="auto" w:fill="FFFFFF"/>
        <w:spacing w:before="93" w:beforeAutospacing="0" w:after="210" w:afterAutospacing="0" w:line="580" w:lineRule="atLeast"/>
        <w:ind w:firstLine="672"/>
        <w:rPr>
          <w:rFonts w:ascii="微软雅黑" w:hAnsi="微软雅黑" w:eastAsia="微软雅黑" w:cs="微软雅黑"/>
          <w:color w:val="333333"/>
        </w:rPr>
      </w:pPr>
      <w:r>
        <w:rPr>
          <w:rFonts w:hint="eastAsia" w:ascii="仿宋_GB2312" w:hAnsi="仿宋_GB2312" w:eastAsia="仿宋_GB2312" w:cs="仿宋_GB2312"/>
          <w:color w:val="333333"/>
          <w:sz w:val="32"/>
          <w:szCs w:val="32"/>
          <w:shd w:val="clear" w:color="auto" w:fill="FFFFFF"/>
        </w:rPr>
        <w:t>4.负责工会理论政策的研究，研究制定工会的组织制度和民主制度，监督检查《中国工会章程》的贯彻执行；研究指导工会的自身改革和建议；指导各级工会组织职工开展以职工代表大会为基本制度的民主选举、民主决策、民主管理和民主监督工作，推动建立平等协商、集体合同制度和监督保证机制的工作；指导基层工会协助党政不断提高职工的思想道德和科学文化技术素质。</w:t>
      </w:r>
    </w:p>
    <w:p>
      <w:pPr>
        <w:pStyle w:val="8"/>
        <w:widowControl/>
        <w:shd w:val="clear" w:color="auto" w:fill="FFFFFF"/>
        <w:spacing w:before="93" w:beforeAutospacing="0" w:after="210" w:afterAutospacing="0" w:line="580" w:lineRule="atLeast"/>
        <w:ind w:firstLine="672"/>
        <w:rPr>
          <w:rFonts w:ascii="微软雅黑" w:hAnsi="微软雅黑" w:eastAsia="微软雅黑" w:cs="微软雅黑"/>
          <w:color w:val="333333"/>
        </w:rPr>
      </w:pPr>
      <w:r>
        <w:rPr>
          <w:rFonts w:hint="eastAsia" w:ascii="仿宋_GB2312" w:hAnsi="仿宋_GB2312" w:eastAsia="仿宋_GB2312" w:cs="仿宋_GB2312"/>
          <w:color w:val="333333"/>
          <w:sz w:val="32"/>
          <w:szCs w:val="32"/>
          <w:shd w:val="clear" w:color="auto" w:fill="FFFFFF"/>
        </w:rPr>
        <w:t>5.协助区有关部门、企业党委（总支、支部）管理工会和工会干部；监督、检查区总工会机关及直属单位党员干部廉政情况；研究制定工会干部的管理制度和培训规划，负责全区各乡镇、街办、各系统工会、企事业工会干部的培训工作。</w:t>
      </w:r>
    </w:p>
    <w:p>
      <w:pPr>
        <w:pStyle w:val="8"/>
        <w:widowControl/>
        <w:shd w:val="clear" w:color="auto" w:fill="FFFFFF"/>
        <w:spacing w:before="93" w:beforeAutospacing="0" w:after="210" w:afterAutospacing="0" w:line="580" w:lineRule="atLeast"/>
        <w:ind w:firstLine="672"/>
        <w:rPr>
          <w:rFonts w:ascii="微软雅黑" w:hAnsi="微软雅黑" w:eastAsia="微软雅黑" w:cs="微软雅黑"/>
          <w:color w:val="333333"/>
        </w:rPr>
      </w:pPr>
      <w:r>
        <w:rPr>
          <w:rFonts w:hint="eastAsia" w:ascii="仿宋_GB2312" w:hAnsi="仿宋_GB2312" w:eastAsia="仿宋_GB2312" w:cs="仿宋_GB2312"/>
          <w:color w:val="333333"/>
          <w:sz w:val="32"/>
          <w:szCs w:val="32"/>
          <w:shd w:val="clear" w:color="auto" w:fill="FFFFFF"/>
        </w:rPr>
        <w:t>6.协助区政府做好市劳动模范的推荐、评选工作；协助全部、省总、市总做好在我区的全国、全省、全市劳动模范、“五一”劳动奖章、奖状获得者的推荐和管理工作。</w:t>
      </w:r>
    </w:p>
    <w:p>
      <w:pPr>
        <w:pStyle w:val="8"/>
        <w:widowControl/>
        <w:shd w:val="clear" w:color="auto" w:fill="FFFFFF"/>
        <w:spacing w:before="93" w:beforeAutospacing="0" w:after="210" w:afterAutospacing="0" w:line="580" w:lineRule="atLeast"/>
        <w:ind w:firstLine="672"/>
        <w:rPr>
          <w:rFonts w:ascii="微软雅黑" w:hAnsi="微软雅黑" w:eastAsia="微软雅黑" w:cs="微软雅黑"/>
          <w:color w:val="333333"/>
        </w:rPr>
      </w:pPr>
      <w:r>
        <w:rPr>
          <w:rFonts w:hint="eastAsia" w:ascii="仿宋_GB2312" w:hAnsi="仿宋_GB2312" w:eastAsia="仿宋_GB2312" w:cs="仿宋_GB2312"/>
          <w:color w:val="333333"/>
          <w:sz w:val="32"/>
          <w:szCs w:val="32"/>
          <w:shd w:val="clear" w:color="auto" w:fill="FFFFFF"/>
        </w:rPr>
        <w:t>7.负责区工会经费和工会资产的管理、审查、审计工作；研究、制定工会组织兴办职工劳动福利事业的有关制度和规定；负责对全区工会职工劳动福利事业的指导、协调工作。</w:t>
      </w:r>
    </w:p>
    <w:p>
      <w:pPr>
        <w:pStyle w:val="8"/>
        <w:widowControl/>
        <w:shd w:val="clear" w:color="auto" w:fill="FFFFFF"/>
        <w:spacing w:before="93" w:beforeAutospacing="0" w:after="210" w:afterAutospacing="0" w:line="580" w:lineRule="atLeast"/>
        <w:ind w:firstLine="672"/>
        <w:rPr>
          <w:rFonts w:ascii="仿宋_GB2312" w:hAnsi="仿宋_GB2312" w:eastAsia="仿宋_GB2312" w:cs="仿宋_GB2312"/>
          <w:color w:val="333333"/>
          <w:sz w:val="32"/>
          <w:szCs w:val="32"/>
          <w:shd w:val="clear" w:color="auto" w:fill="FFFFFF"/>
        </w:rPr>
      </w:pPr>
      <w:r>
        <w:rPr>
          <w:rFonts w:hint="eastAsia" w:ascii="仿宋_GB2312" w:hAnsi="仿宋_GB2312" w:eastAsia="仿宋_GB2312" w:cs="仿宋_GB2312"/>
          <w:color w:val="333333"/>
          <w:sz w:val="32"/>
          <w:szCs w:val="32"/>
          <w:shd w:val="clear" w:color="auto" w:fill="FFFFFF"/>
        </w:rPr>
        <w:t>8.承办区委、区政府和市总工会交办的其他事项。</w:t>
      </w:r>
    </w:p>
    <w:p>
      <w:pPr>
        <w:pStyle w:val="8"/>
        <w:widowControl/>
        <w:shd w:val="clear" w:color="auto" w:fill="FFFFFF"/>
        <w:spacing w:before="93" w:beforeAutospacing="0" w:after="210" w:afterAutospacing="0" w:line="580" w:lineRule="atLeast"/>
        <w:ind w:firstLine="672"/>
        <w:rPr>
          <w:rFonts w:ascii="仿宋" w:hAnsi="仿宋" w:eastAsia="仿宋" w:cs="仿宋_GB2312"/>
          <w:sz w:val="32"/>
          <w:szCs w:val="32"/>
        </w:rPr>
      </w:pPr>
      <w:r>
        <w:rPr>
          <w:rFonts w:hint="eastAsia" w:ascii="仿宋" w:hAnsi="仿宋" w:eastAsia="仿宋" w:cs="仿宋_GB2312"/>
          <w:sz w:val="32"/>
          <w:szCs w:val="32"/>
        </w:rPr>
        <w:t>（三）</w:t>
      </w:r>
      <w:r>
        <w:rPr>
          <w:rFonts w:ascii="仿宋" w:hAnsi="仿宋" w:eastAsia="仿宋" w:cs="仿宋_GB2312"/>
          <w:sz w:val="32"/>
          <w:szCs w:val="32"/>
        </w:rPr>
        <w:t>人员概况。</w:t>
      </w:r>
    </w:p>
    <w:p>
      <w:pPr>
        <w:spacing w:line="580" w:lineRule="exact"/>
        <w:ind w:left="420" w:leftChars="200" w:firstLine="640" w:firstLineChars="200"/>
        <w:rPr>
          <w:rFonts w:ascii="仿宋" w:hAnsi="仿宋" w:eastAsia="仿宋" w:cs="仿宋_GB2312"/>
          <w:sz w:val="32"/>
          <w:szCs w:val="32"/>
        </w:rPr>
      </w:pPr>
      <w:r>
        <w:rPr>
          <w:rFonts w:ascii="仿宋" w:hAnsi="仿宋" w:eastAsia="仿宋" w:cs="仿宋"/>
          <w:color w:val="000000"/>
          <w:sz w:val="32"/>
          <w:szCs w:val="32"/>
          <w:shd w:val="clear" w:color="auto" w:fill="FFFFFF"/>
        </w:rPr>
        <w:t>单位人员情况：行政编制</w:t>
      </w:r>
      <w:r>
        <w:rPr>
          <w:rFonts w:hint="eastAsia" w:ascii="仿宋" w:hAnsi="仿宋" w:eastAsia="仿宋" w:cs="仿宋"/>
          <w:color w:val="000000"/>
          <w:sz w:val="32"/>
          <w:szCs w:val="32"/>
          <w:shd w:val="clear" w:color="auto" w:fill="FFFFFF"/>
        </w:rPr>
        <w:t>4名，机关工勤1名。截止2018年12月31日，我会实有人数14名，其中公务员5名，退休人员4人，聘用人员5人。</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二、部门财政资金收支情况</w:t>
      </w:r>
    </w:p>
    <w:p>
      <w:pPr>
        <w:spacing w:line="600" w:lineRule="exact"/>
        <w:ind w:firstLine="640" w:firstLineChars="200"/>
        <w:outlineLvl w:val="1"/>
        <w:rPr>
          <w:rFonts w:ascii="仿宋" w:hAnsi="仿宋" w:eastAsia="仿宋"/>
          <w:color w:val="000000"/>
          <w:sz w:val="32"/>
          <w:szCs w:val="32"/>
        </w:rPr>
      </w:pPr>
      <w:r>
        <w:rPr>
          <w:rFonts w:ascii="仿宋" w:hAnsi="仿宋" w:eastAsia="仿宋" w:cs="仿宋_GB2312"/>
          <w:sz w:val="32"/>
          <w:szCs w:val="32"/>
        </w:rPr>
        <w:t>（一）</w:t>
      </w:r>
      <w:r>
        <w:rPr>
          <w:rFonts w:ascii="仿宋" w:hAnsi="仿宋" w:eastAsia="仿宋"/>
          <w:color w:val="000000"/>
          <w:sz w:val="32"/>
          <w:szCs w:val="32"/>
        </w:rPr>
        <w:t>201</w:t>
      </w:r>
      <w:r>
        <w:rPr>
          <w:rFonts w:hint="eastAsia" w:ascii="仿宋" w:hAnsi="仿宋" w:eastAsia="仿宋"/>
          <w:color w:val="000000"/>
          <w:sz w:val="32"/>
          <w:szCs w:val="32"/>
        </w:rPr>
        <w:t>8年本年收入合计131.45万元，其中：一般公共预算财政拨款收入131.45万元。</w:t>
      </w:r>
    </w:p>
    <w:p>
      <w:pPr>
        <w:spacing w:line="600" w:lineRule="exact"/>
        <w:ind w:firstLine="640"/>
        <w:rPr>
          <w:rFonts w:ascii="仿宋" w:hAnsi="仿宋" w:eastAsia="仿宋"/>
          <w:color w:val="000000"/>
          <w:sz w:val="32"/>
          <w:szCs w:val="32"/>
          <w:shd w:val="pct10" w:color="auto" w:fill="FFFFFF"/>
        </w:rPr>
      </w:pPr>
      <w:r>
        <w:rPr>
          <w:rFonts w:ascii="仿宋" w:hAnsi="仿宋" w:eastAsia="仿宋" w:cs="仿宋_GB2312"/>
          <w:sz w:val="32"/>
          <w:szCs w:val="32"/>
        </w:rPr>
        <w:t>（二）</w:t>
      </w:r>
      <w:r>
        <w:rPr>
          <w:rFonts w:ascii="仿宋" w:hAnsi="仿宋" w:eastAsia="仿宋"/>
          <w:color w:val="000000"/>
          <w:sz w:val="32"/>
          <w:szCs w:val="32"/>
        </w:rPr>
        <w:t>201</w:t>
      </w:r>
      <w:r>
        <w:rPr>
          <w:rFonts w:hint="eastAsia" w:ascii="仿宋" w:hAnsi="仿宋" w:eastAsia="仿宋"/>
          <w:color w:val="000000"/>
          <w:sz w:val="32"/>
          <w:szCs w:val="32"/>
        </w:rPr>
        <w:t>8年本年支出合计131.45万元，其中：基本支出102.87万元，占78.26</w:t>
      </w:r>
      <w:r>
        <w:rPr>
          <w:rFonts w:ascii="仿宋" w:hAnsi="仿宋" w:eastAsia="仿宋"/>
          <w:color w:val="000000"/>
          <w:sz w:val="32"/>
          <w:szCs w:val="32"/>
        </w:rPr>
        <w:t>%</w:t>
      </w:r>
      <w:r>
        <w:rPr>
          <w:rFonts w:hint="eastAsia" w:ascii="仿宋" w:hAnsi="仿宋" w:eastAsia="仿宋"/>
          <w:color w:val="000000"/>
          <w:sz w:val="32"/>
          <w:szCs w:val="32"/>
        </w:rPr>
        <w:t>；项目支出28.58万元，占21.74</w:t>
      </w:r>
      <w:r>
        <w:rPr>
          <w:rFonts w:ascii="仿宋" w:hAnsi="仿宋" w:eastAsia="仿宋"/>
          <w:color w:val="000000"/>
          <w:sz w:val="32"/>
          <w:szCs w:val="32"/>
        </w:rPr>
        <w:t>%</w:t>
      </w:r>
      <w:r>
        <w:rPr>
          <w:rFonts w:hint="eastAsia" w:ascii="仿宋" w:hAnsi="仿宋" w:eastAsia="仿宋"/>
          <w:color w:val="000000"/>
          <w:sz w:val="32"/>
          <w:szCs w:val="32"/>
        </w:rPr>
        <w:t>。</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三、部门整体预算绩效管理情况（根据适用指标体系进行调整）</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（一）部门预算管理。</w:t>
      </w:r>
    </w:p>
    <w:p>
      <w:pPr>
        <w:ind w:left="160"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我会2018年预算编制严格按照仁和区财政局《关于编制 2018年区级部门预算的通知》相关精神，结合本单位实际，及时与区编办、区人社局等部门核对人员编制、实有人数、工资、领导干部职数及党员人数等基础信息，准确编制部门预算，将部门预算收入全部纳入预算管理，全面完整地反映部门真实收入情况。人员工资以经区人事局审核通过的2018年10月工资为预算编制基准。基本支出预算包括人员经费和日常公用经费两部分，采取人员经费按标准，公用经费按定额的方法客观编制基本支出预算。我会根据项目编制要求，对各项目进行充分认证、可行性分析和绩效评估，通过细化支出用途，明确支出范围，从严从紧编制预算。细化支出预算编制，正确使用会计科目，推进预算信息公开，深化预算绩效管理，提高资金使用效益。按照区级部门预算编制工作有关要求，规范预算编制程序，并按时报送。</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（二）专项预算管理。</w:t>
      </w:r>
    </w:p>
    <w:p>
      <w:pPr>
        <w:ind w:left="160"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我会严格按工作进度执行预算，由财政按时足额直发工资，特别是项目资金，严格按项目完成情况及时支付相关费用；会计账务处理及时，会计核算规范，支付依据和标准合法合规；记账凭证、账簿装订、归档及时规范；本单位2018年部门预算、部门决算、“三公”经费等情况均及时在仁和区公众信息网上进行了公开；以节约为本，严格控制在编人员，压缩”三公”经费支出，严格执行中央八项规定，加强公务出国（出境）、公务接待等管理。2018年我会无超预算开支“三公”经费。</w:t>
      </w:r>
    </w:p>
    <w:p>
      <w:pPr>
        <w:spacing w:line="580" w:lineRule="exact"/>
        <w:ind w:firstLine="640" w:firstLineChars="200"/>
        <w:rPr>
          <w:rFonts w:ascii="仿宋" w:hAnsi="仿宋" w:eastAsia="仿宋" w:cs="仿宋_GB2312"/>
          <w:sz w:val="32"/>
          <w:szCs w:val="32"/>
        </w:rPr>
      </w:pPr>
      <w:r>
        <w:rPr>
          <w:rFonts w:ascii="仿宋" w:hAnsi="仿宋" w:eastAsia="仿宋" w:cs="仿宋_GB2312"/>
          <w:sz w:val="32"/>
          <w:szCs w:val="32"/>
        </w:rPr>
        <w:t>（三）结果应用情况。</w:t>
      </w:r>
    </w:p>
    <w:p>
      <w:pPr>
        <w:ind w:left="420" w:leftChars="200" w:firstLine="640" w:firstLineChars="200"/>
        <w:rPr>
          <w:rFonts w:ascii="仿宋_GB2312" w:hAnsi="仿宋_GB2312" w:eastAsia="仿宋_GB2312" w:cs="仿宋_GB2312"/>
          <w:bCs/>
          <w:sz w:val="32"/>
          <w:szCs w:val="32"/>
        </w:rPr>
      </w:pPr>
      <w:r>
        <w:rPr>
          <w:rFonts w:hint="eastAsia" w:ascii="仿宋_GB2312" w:hAnsi="仿宋_GB2312" w:eastAsia="仿宋_GB2312" w:cs="仿宋_GB2312"/>
          <w:bCs/>
          <w:sz w:val="32"/>
          <w:szCs w:val="32"/>
        </w:rPr>
        <w:t>我会认真对部门绩效管理工作开展情况进行自查自评，并将评价结果作为预算安排的重要依据，统筹安排预算支出，调整支出结构，优化财政资金配置，不断强化绩效理念，进一步提高本单位部门绩效管理水平。</w:t>
      </w:r>
    </w:p>
    <w:p>
      <w:pPr>
        <w:spacing w:line="580" w:lineRule="exact"/>
        <w:ind w:firstLine="640" w:firstLineChars="200"/>
        <w:rPr>
          <w:rFonts w:ascii="黑体" w:hAnsi="黑体" w:eastAsia="黑体" w:cs="黑体"/>
          <w:sz w:val="32"/>
          <w:szCs w:val="32"/>
        </w:rPr>
      </w:pPr>
      <w:r>
        <w:rPr>
          <w:rFonts w:ascii="黑体" w:hAnsi="黑体" w:eastAsia="黑体" w:cs="黑体"/>
          <w:sz w:val="32"/>
          <w:szCs w:val="32"/>
        </w:rPr>
        <w:t>四、评价结论及建议</w:t>
      </w:r>
    </w:p>
    <w:p>
      <w:pPr>
        <w:ind w:left="160" w:firstLine="640" w:firstLineChars="200"/>
        <w:rPr>
          <w:rFonts w:ascii="仿宋_GB2312" w:hAnsi="仿宋_GB2312" w:eastAsia="仿宋_GB2312" w:cs="仿宋_GB2312"/>
          <w:bCs/>
          <w:sz w:val="32"/>
          <w:szCs w:val="32"/>
        </w:rPr>
      </w:pPr>
      <w:r>
        <w:rPr>
          <w:rFonts w:ascii="仿宋" w:hAnsi="仿宋" w:eastAsia="仿宋" w:cs="仿宋_GB2312"/>
          <w:sz w:val="32"/>
          <w:szCs w:val="32"/>
        </w:rPr>
        <w:t>（一）</w:t>
      </w:r>
      <w:r>
        <w:rPr>
          <w:rFonts w:hint="eastAsia" w:ascii="仿宋_GB2312" w:hAnsi="仿宋_GB2312" w:eastAsia="仿宋_GB2312" w:cs="仿宋_GB2312"/>
          <w:bCs/>
          <w:sz w:val="32"/>
          <w:szCs w:val="32"/>
        </w:rPr>
        <w:t>总体来说，我会2018年部门整体支出情况良好，从预算到执行和收入、支出及信息公开，都严格按照相关制度要求执行。</w:t>
      </w:r>
    </w:p>
    <w:p>
      <w:pPr>
        <w:spacing w:line="580" w:lineRule="exact"/>
        <w:ind w:firstLine="640" w:firstLineChars="200"/>
        <w:rPr>
          <w:rFonts w:ascii="仿宋_GB2312" w:hAnsi="仿宋_GB2312" w:eastAsia="仿宋_GB2312" w:cs="仿宋_GB2312"/>
          <w:sz w:val="32"/>
          <w:szCs w:val="32"/>
        </w:rPr>
      </w:pPr>
      <w:r>
        <w:rPr>
          <w:rFonts w:ascii="仿宋" w:hAnsi="仿宋" w:eastAsia="仿宋" w:cs="仿宋_GB2312"/>
          <w:sz w:val="32"/>
          <w:szCs w:val="32"/>
        </w:rPr>
        <w:t>（二）存在问题。</w:t>
      </w:r>
      <w:r>
        <w:rPr>
          <w:rFonts w:hint="eastAsia" w:ascii="仿宋_GB2312" w:hAnsi="仿宋_GB2312" w:eastAsia="仿宋_GB2312" w:cs="仿宋_GB2312"/>
          <w:color w:val="000000"/>
          <w:sz w:val="32"/>
          <w:szCs w:val="32"/>
          <w:shd w:val="clear" w:color="auto" w:fill="FFFFFF"/>
        </w:rPr>
        <w:t>人员素质有待进一步提高。由于预算绩效管理工作开展时间短，涉及面广，专业性强，单位对预算绩效管理理解不充分，对预算绩效管理业务不精通，在一定程度上影响了绩效评价工作质量。</w:t>
      </w:r>
    </w:p>
    <w:p>
      <w:pPr>
        <w:spacing w:line="580" w:lineRule="exact"/>
        <w:ind w:firstLine="640" w:firstLineChars="200"/>
        <w:rPr>
          <w:rFonts w:ascii="仿宋_GB2312" w:hAnsi="仿宋_GB2312" w:eastAsia="仿宋_GB2312" w:cs="仿宋_GB2312"/>
          <w:sz w:val="32"/>
          <w:szCs w:val="32"/>
        </w:rPr>
      </w:pPr>
      <w:r>
        <w:rPr>
          <w:rFonts w:ascii="仿宋" w:hAnsi="仿宋" w:eastAsia="仿宋" w:cs="仿宋_GB2312"/>
          <w:sz w:val="32"/>
          <w:szCs w:val="32"/>
        </w:rPr>
        <w:t>（三</w:t>
      </w:r>
      <w:r>
        <w:rPr>
          <w:rFonts w:hint="eastAsia" w:ascii="仿宋_GB2312" w:hAnsi="仿宋_GB2312" w:eastAsia="仿宋_GB2312" w:cs="仿宋_GB2312"/>
          <w:sz w:val="32"/>
          <w:szCs w:val="32"/>
        </w:rPr>
        <w:t>）</w:t>
      </w:r>
      <w:r>
        <w:rPr>
          <w:rFonts w:hint="eastAsia" w:ascii="仿宋_GB2312" w:hAnsi="仿宋_GB2312" w:eastAsia="仿宋_GB2312" w:cs="仿宋_GB2312"/>
          <w:color w:val="000000"/>
          <w:sz w:val="32"/>
          <w:szCs w:val="32"/>
          <w:shd w:val="clear" w:color="auto" w:fill="FFFFFF"/>
        </w:rPr>
        <w:t>加大财务绩效评价工作的宣传和培训力度。</w:t>
      </w:r>
    </w:p>
    <w:p>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pPr>
        <w:spacing w:line="600" w:lineRule="exact"/>
        <w:jc w:val="center"/>
        <w:outlineLvl w:val="0"/>
        <w:rPr>
          <w:rStyle w:val="14"/>
          <w:rFonts w:ascii="黑体" w:hAnsi="黑体" w:eastAsia="黑体"/>
          <w:b w:val="0"/>
        </w:rPr>
      </w:pPr>
      <w:bookmarkStart w:id="61" w:name="_Toc15396618"/>
      <w:r>
        <w:rPr>
          <w:rFonts w:hint="eastAsia" w:ascii="黑体" w:hAnsi="黑体" w:eastAsia="黑体"/>
          <w:color w:val="000000"/>
          <w:sz w:val="44"/>
          <w:szCs w:val="44"/>
        </w:rPr>
        <w:t>第</w:t>
      </w:r>
      <w:r>
        <w:rPr>
          <w:rStyle w:val="14"/>
          <w:rFonts w:hint="eastAsia" w:ascii="黑体" w:hAnsi="黑体" w:eastAsia="黑体"/>
          <w:b w:val="0"/>
        </w:rPr>
        <w:t>五部分 附表</w:t>
      </w:r>
      <w:bookmarkEnd w:id="57"/>
      <w:bookmarkEnd w:id="61"/>
    </w:p>
    <w:p>
      <w:pPr>
        <w:spacing w:line="600" w:lineRule="exact"/>
        <w:jc w:val="center"/>
        <w:outlineLvl w:val="0"/>
        <w:rPr>
          <w:rFonts w:ascii="仿宋" w:hAnsi="仿宋" w:eastAsia="仿宋"/>
          <w:b/>
          <w:color w:val="000000"/>
          <w:sz w:val="44"/>
          <w:szCs w:val="44"/>
        </w:rPr>
      </w:pPr>
    </w:p>
    <w:p>
      <w:pPr>
        <w:pStyle w:val="3"/>
        <w:rPr>
          <w:rFonts w:ascii="仿宋" w:hAnsi="仿宋" w:eastAsia="仿宋"/>
          <w:color w:val="000000"/>
        </w:rPr>
      </w:pPr>
      <w:bookmarkStart w:id="62" w:name="_Toc15396619"/>
      <w:r>
        <w:rPr>
          <w:rFonts w:hint="eastAsia" w:ascii="仿宋" w:hAnsi="仿宋" w:eastAsia="仿宋"/>
          <w:b w:val="0"/>
          <w:color w:val="000000"/>
        </w:rPr>
        <w:t>一、收</w:t>
      </w:r>
      <w:r>
        <w:rPr>
          <w:rStyle w:val="15"/>
          <w:rFonts w:hint="eastAsia" w:ascii="仿宋" w:hAnsi="仿宋" w:eastAsia="仿宋"/>
          <w:b w:val="0"/>
          <w:bCs w:val="0"/>
        </w:rPr>
        <w:t>入支出决算总表</w:t>
      </w:r>
      <w:bookmarkEnd w:id="62"/>
    </w:p>
    <w:p>
      <w:pPr>
        <w:pStyle w:val="3"/>
        <w:rPr>
          <w:rFonts w:ascii="仿宋" w:hAnsi="仿宋" w:eastAsia="仿宋"/>
          <w:color w:val="000000"/>
        </w:rPr>
      </w:pPr>
      <w:bookmarkStart w:id="63" w:name="_Toc15396620"/>
      <w:r>
        <w:rPr>
          <w:rFonts w:hint="eastAsia" w:ascii="仿宋" w:hAnsi="仿宋" w:eastAsia="仿宋"/>
          <w:b w:val="0"/>
          <w:color w:val="000000"/>
        </w:rPr>
        <w:t>二、收</w:t>
      </w:r>
      <w:r>
        <w:rPr>
          <w:rStyle w:val="15"/>
          <w:rFonts w:hint="eastAsia" w:ascii="仿宋" w:hAnsi="仿宋" w:eastAsia="仿宋"/>
          <w:b w:val="0"/>
          <w:bCs w:val="0"/>
        </w:rPr>
        <w:t>入总表</w:t>
      </w:r>
      <w:bookmarkEnd w:id="63"/>
    </w:p>
    <w:p>
      <w:pPr>
        <w:pStyle w:val="3"/>
        <w:rPr>
          <w:rFonts w:ascii="仿宋" w:hAnsi="仿宋" w:eastAsia="仿宋"/>
          <w:color w:val="000000"/>
        </w:rPr>
      </w:pPr>
      <w:bookmarkStart w:id="64" w:name="_Toc15396621"/>
      <w:r>
        <w:rPr>
          <w:rStyle w:val="15"/>
          <w:rFonts w:hint="eastAsia" w:ascii="仿宋" w:hAnsi="仿宋" w:eastAsia="仿宋"/>
          <w:b w:val="0"/>
          <w:bCs w:val="0"/>
        </w:rPr>
        <w:t>三、</w:t>
      </w:r>
      <w:r>
        <w:rPr>
          <w:rFonts w:hint="eastAsia" w:ascii="仿宋" w:hAnsi="仿宋" w:eastAsia="仿宋"/>
          <w:b w:val="0"/>
          <w:color w:val="000000"/>
        </w:rPr>
        <w:t>支</w:t>
      </w:r>
      <w:r>
        <w:rPr>
          <w:rStyle w:val="15"/>
          <w:rFonts w:hint="eastAsia" w:ascii="仿宋" w:hAnsi="仿宋" w:eastAsia="仿宋"/>
          <w:b w:val="0"/>
          <w:bCs w:val="0"/>
        </w:rPr>
        <w:t>出总表</w:t>
      </w:r>
      <w:bookmarkEnd w:id="64"/>
    </w:p>
    <w:p>
      <w:pPr>
        <w:pStyle w:val="3"/>
        <w:rPr>
          <w:rFonts w:ascii="仿宋" w:hAnsi="仿宋" w:eastAsia="仿宋"/>
          <w:b w:val="0"/>
          <w:color w:val="000000"/>
        </w:rPr>
      </w:pPr>
      <w:bookmarkStart w:id="65" w:name="_Toc15396622"/>
      <w:r>
        <w:rPr>
          <w:rStyle w:val="15"/>
          <w:rFonts w:hint="eastAsia" w:ascii="仿宋" w:hAnsi="仿宋" w:eastAsia="仿宋"/>
          <w:b w:val="0"/>
          <w:bCs w:val="0"/>
        </w:rPr>
        <w:t>四、</w:t>
      </w:r>
      <w:r>
        <w:rPr>
          <w:rFonts w:hint="eastAsia" w:ascii="仿宋" w:hAnsi="仿宋" w:eastAsia="仿宋"/>
          <w:b w:val="0"/>
          <w:color w:val="000000"/>
        </w:rPr>
        <w:t>财</w:t>
      </w:r>
      <w:r>
        <w:rPr>
          <w:rStyle w:val="15"/>
          <w:rFonts w:hint="eastAsia" w:ascii="仿宋" w:hAnsi="仿宋" w:eastAsia="仿宋"/>
          <w:b w:val="0"/>
          <w:bCs w:val="0"/>
        </w:rPr>
        <w:t>政拨款收入支出决算总表</w:t>
      </w:r>
      <w:bookmarkEnd w:id="65"/>
    </w:p>
    <w:p>
      <w:pPr>
        <w:pStyle w:val="3"/>
        <w:rPr>
          <w:rFonts w:ascii="仿宋" w:hAnsi="仿宋" w:eastAsia="仿宋"/>
          <w:color w:val="000000"/>
        </w:rPr>
      </w:pPr>
      <w:bookmarkStart w:id="66" w:name="_Toc15396623"/>
      <w:r>
        <w:rPr>
          <w:rStyle w:val="15"/>
          <w:rFonts w:hint="eastAsia" w:ascii="仿宋" w:hAnsi="仿宋" w:eastAsia="仿宋"/>
          <w:b w:val="0"/>
          <w:bCs w:val="0"/>
        </w:rPr>
        <w:t>五、</w:t>
      </w:r>
      <w:r>
        <w:rPr>
          <w:rFonts w:hint="eastAsia" w:ascii="仿宋" w:hAnsi="仿宋" w:eastAsia="仿宋"/>
          <w:b w:val="0"/>
          <w:color w:val="000000"/>
        </w:rPr>
        <w:t>财</w:t>
      </w:r>
      <w:r>
        <w:rPr>
          <w:rStyle w:val="15"/>
          <w:rFonts w:hint="eastAsia" w:ascii="仿宋" w:hAnsi="仿宋" w:eastAsia="仿宋"/>
          <w:b w:val="0"/>
          <w:bCs w:val="0"/>
        </w:rPr>
        <w:t>政拨款支出决算明细表（政府经济分类科目）</w:t>
      </w:r>
      <w:bookmarkEnd w:id="66"/>
    </w:p>
    <w:p>
      <w:pPr>
        <w:pStyle w:val="3"/>
        <w:rPr>
          <w:rFonts w:ascii="仿宋" w:hAnsi="仿宋" w:eastAsia="仿宋"/>
          <w:color w:val="000000"/>
        </w:rPr>
      </w:pPr>
      <w:bookmarkStart w:id="67" w:name="_Toc15396624"/>
      <w:r>
        <w:rPr>
          <w:rStyle w:val="15"/>
          <w:rFonts w:hint="eastAsia" w:ascii="仿宋" w:hAnsi="仿宋" w:eastAsia="仿宋"/>
          <w:b w:val="0"/>
          <w:bCs w:val="0"/>
        </w:rPr>
        <w:t>六、</w:t>
      </w:r>
      <w:r>
        <w:rPr>
          <w:rFonts w:hint="eastAsia" w:ascii="仿宋" w:hAnsi="仿宋" w:eastAsia="仿宋"/>
          <w:b w:val="0"/>
          <w:color w:val="000000"/>
        </w:rPr>
        <w:t>一</w:t>
      </w:r>
      <w:r>
        <w:rPr>
          <w:rStyle w:val="15"/>
          <w:rFonts w:hint="eastAsia" w:ascii="仿宋" w:hAnsi="仿宋" w:eastAsia="仿宋"/>
          <w:b w:val="0"/>
          <w:bCs w:val="0"/>
        </w:rPr>
        <w:t>般公共预算财政拨款支出决算表</w:t>
      </w:r>
      <w:bookmarkEnd w:id="67"/>
    </w:p>
    <w:p>
      <w:pPr>
        <w:pStyle w:val="3"/>
        <w:rPr>
          <w:rFonts w:ascii="仿宋" w:hAnsi="仿宋" w:eastAsia="仿宋"/>
          <w:color w:val="000000"/>
        </w:rPr>
      </w:pPr>
      <w:bookmarkStart w:id="68" w:name="_Toc15396625"/>
      <w:r>
        <w:rPr>
          <w:rStyle w:val="15"/>
          <w:rFonts w:hint="eastAsia" w:ascii="仿宋" w:hAnsi="仿宋" w:eastAsia="仿宋"/>
          <w:b w:val="0"/>
          <w:bCs w:val="0"/>
        </w:rPr>
        <w:t>七、</w:t>
      </w:r>
      <w:r>
        <w:rPr>
          <w:rFonts w:hint="eastAsia" w:ascii="仿宋" w:hAnsi="仿宋" w:eastAsia="仿宋"/>
          <w:b w:val="0"/>
          <w:color w:val="000000"/>
        </w:rPr>
        <w:t>一</w:t>
      </w:r>
      <w:r>
        <w:rPr>
          <w:rStyle w:val="15"/>
          <w:rFonts w:hint="eastAsia" w:ascii="仿宋" w:hAnsi="仿宋" w:eastAsia="仿宋"/>
          <w:b w:val="0"/>
          <w:bCs w:val="0"/>
        </w:rPr>
        <w:t>般公共预算财政拨款支出决算明细表</w:t>
      </w:r>
      <w:bookmarkEnd w:id="68"/>
    </w:p>
    <w:p>
      <w:pPr>
        <w:pStyle w:val="3"/>
        <w:rPr>
          <w:rFonts w:ascii="仿宋" w:hAnsi="仿宋" w:eastAsia="仿宋"/>
          <w:color w:val="000000"/>
        </w:rPr>
      </w:pPr>
      <w:bookmarkStart w:id="69" w:name="_Toc15396626"/>
      <w:r>
        <w:rPr>
          <w:rStyle w:val="15"/>
          <w:rFonts w:hint="eastAsia" w:ascii="仿宋" w:hAnsi="仿宋" w:eastAsia="仿宋"/>
          <w:b w:val="0"/>
          <w:bCs w:val="0"/>
        </w:rPr>
        <w:t>八、</w:t>
      </w:r>
      <w:r>
        <w:rPr>
          <w:rFonts w:hint="eastAsia" w:ascii="仿宋" w:hAnsi="仿宋" w:eastAsia="仿宋"/>
          <w:b w:val="0"/>
          <w:color w:val="000000"/>
        </w:rPr>
        <w:t>一</w:t>
      </w:r>
      <w:r>
        <w:rPr>
          <w:rStyle w:val="15"/>
          <w:rFonts w:hint="eastAsia" w:ascii="仿宋" w:hAnsi="仿宋" w:eastAsia="仿宋"/>
          <w:b w:val="0"/>
          <w:bCs w:val="0"/>
        </w:rPr>
        <w:t>般公共预算财政拨款基本支出决算表</w:t>
      </w:r>
      <w:bookmarkEnd w:id="69"/>
    </w:p>
    <w:p>
      <w:pPr>
        <w:pStyle w:val="3"/>
        <w:rPr>
          <w:rFonts w:ascii="仿宋" w:hAnsi="仿宋" w:eastAsia="仿宋"/>
          <w:color w:val="000000"/>
        </w:rPr>
      </w:pPr>
      <w:bookmarkStart w:id="70" w:name="_Toc15396627"/>
      <w:r>
        <w:rPr>
          <w:rStyle w:val="15"/>
          <w:rFonts w:hint="eastAsia" w:ascii="仿宋" w:hAnsi="仿宋" w:eastAsia="仿宋"/>
          <w:b w:val="0"/>
          <w:bCs w:val="0"/>
        </w:rPr>
        <w:t>九、</w:t>
      </w:r>
      <w:r>
        <w:rPr>
          <w:rFonts w:hint="eastAsia" w:ascii="仿宋" w:hAnsi="仿宋" w:eastAsia="仿宋"/>
          <w:b w:val="0"/>
          <w:color w:val="000000"/>
        </w:rPr>
        <w:t>一</w:t>
      </w:r>
      <w:r>
        <w:rPr>
          <w:rStyle w:val="15"/>
          <w:rFonts w:hint="eastAsia" w:ascii="仿宋" w:hAnsi="仿宋" w:eastAsia="仿宋"/>
          <w:b w:val="0"/>
          <w:bCs w:val="0"/>
        </w:rPr>
        <w:t>般公共预算财政拨款项目支出决算表</w:t>
      </w:r>
      <w:bookmarkEnd w:id="70"/>
    </w:p>
    <w:p>
      <w:pPr>
        <w:pStyle w:val="3"/>
        <w:rPr>
          <w:rFonts w:ascii="仿宋" w:hAnsi="仿宋" w:eastAsia="仿宋"/>
          <w:color w:val="000000"/>
        </w:rPr>
      </w:pPr>
      <w:bookmarkStart w:id="71" w:name="_Toc15396628"/>
      <w:r>
        <w:rPr>
          <w:rStyle w:val="15"/>
          <w:rFonts w:hint="eastAsia" w:ascii="仿宋" w:hAnsi="仿宋" w:eastAsia="仿宋"/>
          <w:b w:val="0"/>
          <w:bCs w:val="0"/>
        </w:rPr>
        <w:t>十、</w:t>
      </w:r>
      <w:r>
        <w:rPr>
          <w:rFonts w:hint="eastAsia" w:ascii="仿宋" w:hAnsi="仿宋" w:eastAsia="仿宋"/>
          <w:b w:val="0"/>
          <w:color w:val="000000"/>
        </w:rPr>
        <w:t>一</w:t>
      </w:r>
      <w:r>
        <w:rPr>
          <w:rStyle w:val="15"/>
          <w:rFonts w:hint="eastAsia" w:ascii="仿宋" w:hAnsi="仿宋" w:eastAsia="仿宋"/>
          <w:b w:val="0"/>
          <w:bCs w:val="0"/>
        </w:rPr>
        <w:t>般公共预算财政拨款“三公”经费支出决算表</w:t>
      </w:r>
      <w:bookmarkEnd w:id="71"/>
    </w:p>
    <w:p>
      <w:pPr>
        <w:pStyle w:val="3"/>
        <w:rPr>
          <w:rFonts w:ascii="仿宋" w:hAnsi="仿宋" w:eastAsia="仿宋"/>
          <w:color w:val="000000"/>
        </w:rPr>
      </w:pPr>
      <w:bookmarkStart w:id="72" w:name="_Toc15396629"/>
      <w:r>
        <w:rPr>
          <w:rStyle w:val="15"/>
          <w:rFonts w:hint="eastAsia" w:ascii="仿宋" w:hAnsi="仿宋" w:eastAsia="仿宋"/>
          <w:b w:val="0"/>
          <w:bCs w:val="0"/>
        </w:rPr>
        <w:t>十一、</w:t>
      </w:r>
      <w:r>
        <w:rPr>
          <w:rFonts w:hint="eastAsia" w:ascii="仿宋" w:hAnsi="仿宋" w:eastAsia="仿宋"/>
          <w:b w:val="0"/>
          <w:color w:val="000000"/>
        </w:rPr>
        <w:t>政</w:t>
      </w:r>
      <w:r>
        <w:rPr>
          <w:rStyle w:val="15"/>
          <w:rFonts w:hint="eastAsia" w:ascii="仿宋" w:hAnsi="仿宋" w:eastAsia="仿宋"/>
          <w:b w:val="0"/>
          <w:bCs w:val="0"/>
        </w:rPr>
        <w:t>府性基金预算财政拨款收入支出决算表</w:t>
      </w:r>
      <w:bookmarkEnd w:id="72"/>
    </w:p>
    <w:p>
      <w:pPr>
        <w:pStyle w:val="3"/>
        <w:rPr>
          <w:rFonts w:ascii="仿宋" w:hAnsi="仿宋" w:eastAsia="仿宋"/>
          <w:color w:val="000000"/>
        </w:rPr>
      </w:pPr>
      <w:bookmarkStart w:id="73" w:name="_Toc15396630"/>
      <w:r>
        <w:rPr>
          <w:rStyle w:val="15"/>
          <w:rFonts w:hint="eastAsia" w:ascii="仿宋" w:hAnsi="仿宋" w:eastAsia="仿宋"/>
          <w:b w:val="0"/>
          <w:bCs w:val="0"/>
        </w:rPr>
        <w:t>十二、</w:t>
      </w:r>
      <w:r>
        <w:rPr>
          <w:rFonts w:hint="eastAsia" w:ascii="仿宋" w:hAnsi="仿宋" w:eastAsia="仿宋"/>
          <w:b w:val="0"/>
          <w:color w:val="000000"/>
        </w:rPr>
        <w:t>政</w:t>
      </w:r>
      <w:r>
        <w:rPr>
          <w:rStyle w:val="15"/>
          <w:rFonts w:hint="eastAsia" w:ascii="仿宋" w:hAnsi="仿宋" w:eastAsia="仿宋"/>
          <w:b w:val="0"/>
          <w:bCs w:val="0"/>
        </w:rPr>
        <w:t>府性基金预算财政拨款“三公”经费支出决算表</w:t>
      </w:r>
      <w:bookmarkEnd w:id="73"/>
    </w:p>
    <w:p>
      <w:pPr>
        <w:pStyle w:val="3"/>
        <w:rPr>
          <w:rFonts w:ascii="仿宋" w:hAnsi="仿宋" w:eastAsia="仿宋"/>
          <w:color w:val="000000" w:themeColor="text1"/>
        </w:rPr>
      </w:pPr>
      <w:bookmarkStart w:id="74" w:name="_Toc15396631"/>
      <w:r>
        <w:rPr>
          <w:rStyle w:val="15"/>
          <w:rFonts w:hint="eastAsia" w:ascii="仿宋" w:hAnsi="仿宋" w:eastAsia="仿宋"/>
          <w:b w:val="0"/>
          <w:bCs w:val="0"/>
        </w:rPr>
        <w:t>十三、</w:t>
      </w:r>
      <w:r>
        <w:rPr>
          <w:rFonts w:hint="eastAsia" w:ascii="仿宋" w:hAnsi="仿宋" w:eastAsia="仿宋"/>
          <w:b w:val="0"/>
          <w:color w:val="000000"/>
        </w:rPr>
        <w:t>国</w:t>
      </w:r>
      <w:r>
        <w:rPr>
          <w:rStyle w:val="15"/>
          <w:rFonts w:hint="eastAsia" w:ascii="仿宋" w:hAnsi="仿宋" w:eastAsia="仿宋"/>
          <w:b w:val="0"/>
          <w:bCs w:val="0"/>
        </w:rPr>
        <w:t>有资本经营预算支出决算表</w:t>
      </w:r>
      <w:bookmarkEnd w:id="74"/>
    </w:p>
    <w:p/>
    <w:sectPr>
      <w:pgSz w:w="11906" w:h="16838"/>
      <w:pgMar w:top="1440" w:right="1800" w:bottom="156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 w:name="方正小标宋简体">
    <w:panose1 w:val="02010601030101010101"/>
    <w:charset w:val="86"/>
    <w:family w:val="script"/>
    <w:pitch w:val="default"/>
    <w:sig w:usb0="00000001" w:usb1="080E0000" w:usb2="00000000" w:usb3="00000000" w:csb0="00040000" w:csb1="00000000"/>
  </w:font>
  <w:font w:name="楷体_GB2312">
    <w:panose1 w:val="02010609030101010101"/>
    <w:charset w:val="86"/>
    <w:family w:val="modern"/>
    <w:pitch w:val="default"/>
    <w:sig w:usb0="00000001" w:usb1="080E0000" w:usb2="00000000" w:usb3="00000000" w:csb0="00040000" w:csb1="00000000"/>
  </w:font>
  <w:font w:name="微软雅黑">
    <w:panose1 w:val="020B0503020204020204"/>
    <w:charset w:val="86"/>
    <w:family w:val="swiss"/>
    <w:pitch w:val="default"/>
    <w:sig w:usb0="80000287" w:usb1="280F3C52" w:usb2="00000016" w:usb3="00000000" w:csb0="0004001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B026C66B"/>
    <w:multiLevelType w:val="singleLevel"/>
    <w:tmpl w:val="B026C66B"/>
    <w:lvl w:ilvl="0" w:tentative="0">
      <w:start w:val="1"/>
      <w:numFmt w:val="decimal"/>
      <w:lvlText w:val="%1."/>
      <w:lvlJc w:val="left"/>
      <w:pPr>
        <w:tabs>
          <w:tab w:val="left" w:pos="312"/>
        </w:tabs>
      </w:pPr>
    </w:lvl>
  </w:abstractNum>
  <w:abstractNum w:abstractNumId="1">
    <w:nsid w:val="CF652CEC"/>
    <w:multiLevelType w:val="singleLevel"/>
    <w:tmpl w:val="CF652CEC"/>
    <w:lvl w:ilvl="0" w:tentative="0">
      <w:start w:val="9"/>
      <w:numFmt w:val="chineseCounting"/>
      <w:suff w:val="nothing"/>
      <w:lvlText w:val="%1、"/>
      <w:lvlJc w:val="left"/>
      <w:rPr>
        <w:rFonts w:hint="eastAsia"/>
      </w:rPr>
    </w:lvl>
  </w:abstractNum>
  <w:abstractNum w:abstractNumId="2">
    <w:nsid w:val="E2FA047D"/>
    <w:multiLevelType w:val="singleLevel"/>
    <w:tmpl w:val="E2FA047D"/>
    <w:lvl w:ilvl="0" w:tentative="0">
      <w:start w:val="3"/>
      <w:numFmt w:val="chineseCounting"/>
      <w:suff w:val="space"/>
      <w:lvlText w:val="第%1部分"/>
      <w:lvlJc w:val="left"/>
      <w:rPr>
        <w:rFonts w:hint="eastAsia"/>
      </w:rPr>
    </w:lvl>
  </w:abstractNum>
  <w:abstractNum w:abstractNumId="3">
    <w:nsid w:val="EC0BEF30"/>
    <w:multiLevelType w:val="singleLevel"/>
    <w:tmpl w:val="EC0BEF30"/>
    <w:lvl w:ilvl="0" w:tentative="0">
      <w:start w:val="1"/>
      <w:numFmt w:val="chineseCounting"/>
      <w:suff w:val="nothing"/>
      <w:lvlText w:val="（%1）"/>
      <w:lvlJc w:val="left"/>
      <w:rPr>
        <w:rFonts w:hint="eastAsia" w:ascii="楷体_GB2312" w:hAnsi="楷体_GB2312" w:eastAsia="楷体_GB2312" w:cs="楷体_GB2312"/>
        <w:b/>
        <w:bCs/>
        <w:sz w:val="32"/>
        <w:szCs w:val="32"/>
      </w:rPr>
    </w:lvl>
  </w:abstractNum>
  <w:abstractNum w:abstractNumId="4">
    <w:nsid w:val="1272550B"/>
    <w:multiLevelType w:val="multilevel"/>
    <w:tmpl w:val="1272550B"/>
    <w:lvl w:ilvl="0" w:tentative="0">
      <w:start w:val="1"/>
      <w:numFmt w:val="japaneseCounting"/>
      <w:lvlText w:val="%1、"/>
      <w:lvlJc w:val="left"/>
      <w:pPr>
        <w:ind w:left="1360" w:hanging="720"/>
      </w:pPr>
      <w:rPr>
        <w:rFonts w:hint="default"/>
        <w:b w:val="0"/>
      </w:rPr>
    </w:lvl>
    <w:lvl w:ilvl="1" w:tentative="0">
      <w:start w:val="1"/>
      <w:numFmt w:val="lowerLetter"/>
      <w:lvlText w:val="%2)"/>
      <w:lvlJc w:val="left"/>
      <w:pPr>
        <w:ind w:left="1480" w:hanging="420"/>
      </w:pPr>
    </w:lvl>
    <w:lvl w:ilvl="2" w:tentative="0">
      <w:start w:val="1"/>
      <w:numFmt w:val="lowerRoman"/>
      <w:lvlText w:val="%3."/>
      <w:lvlJc w:val="right"/>
      <w:pPr>
        <w:ind w:left="1900" w:hanging="420"/>
      </w:pPr>
    </w:lvl>
    <w:lvl w:ilvl="3" w:tentative="0">
      <w:start w:val="1"/>
      <w:numFmt w:val="decimal"/>
      <w:lvlText w:val="%4."/>
      <w:lvlJc w:val="left"/>
      <w:pPr>
        <w:ind w:left="2320" w:hanging="420"/>
      </w:pPr>
    </w:lvl>
    <w:lvl w:ilvl="4" w:tentative="0">
      <w:start w:val="1"/>
      <w:numFmt w:val="lowerLetter"/>
      <w:lvlText w:val="%5)"/>
      <w:lvlJc w:val="left"/>
      <w:pPr>
        <w:ind w:left="2740" w:hanging="420"/>
      </w:pPr>
    </w:lvl>
    <w:lvl w:ilvl="5" w:tentative="0">
      <w:start w:val="1"/>
      <w:numFmt w:val="lowerRoman"/>
      <w:lvlText w:val="%6."/>
      <w:lvlJc w:val="right"/>
      <w:pPr>
        <w:ind w:left="3160" w:hanging="420"/>
      </w:pPr>
    </w:lvl>
    <w:lvl w:ilvl="6" w:tentative="0">
      <w:start w:val="1"/>
      <w:numFmt w:val="decimal"/>
      <w:lvlText w:val="%7."/>
      <w:lvlJc w:val="left"/>
      <w:pPr>
        <w:ind w:left="3580" w:hanging="420"/>
      </w:pPr>
    </w:lvl>
    <w:lvl w:ilvl="7" w:tentative="0">
      <w:start w:val="1"/>
      <w:numFmt w:val="lowerLetter"/>
      <w:lvlText w:val="%8)"/>
      <w:lvlJc w:val="left"/>
      <w:pPr>
        <w:ind w:left="4000" w:hanging="420"/>
      </w:pPr>
    </w:lvl>
    <w:lvl w:ilvl="8" w:tentative="0">
      <w:start w:val="1"/>
      <w:numFmt w:val="lowerRoman"/>
      <w:lvlText w:val="%9."/>
      <w:lvlJc w:val="right"/>
      <w:pPr>
        <w:ind w:left="4420" w:hanging="420"/>
      </w:pPr>
    </w:lvl>
  </w:abstractNum>
  <w:num w:numId="1">
    <w:abstractNumId w:val="4"/>
  </w:num>
  <w:num w:numId="2">
    <w:abstractNumId w:val="1"/>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008130FE"/>
    <w:rsid w:val="004D4F0C"/>
    <w:rsid w:val="00526AD7"/>
    <w:rsid w:val="008130FE"/>
    <w:rsid w:val="009A10DC"/>
    <w:rsid w:val="009C4741"/>
    <w:rsid w:val="00AE6958"/>
    <w:rsid w:val="00B31EE5"/>
    <w:rsid w:val="17093F1F"/>
    <w:rsid w:val="7A4926C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qFormat="1" w:uiPriority="39" w:semiHidden="0" w:name="toc 1"/>
    <w:lsdException w:qFormat="1" w:uiPriority="39" w:semiHidden="0"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uiPriority="99" w:name="header"/>
    <w:lsdException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qFormat="1" w:unhideWhenUsed="0" w:uiPriority="99"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99"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1"/>
    <w:basedOn w:val="1"/>
    <w:next w:val="1"/>
    <w:link w:val="14"/>
    <w:qFormat/>
    <w:uiPriority w:val="9"/>
    <w:pPr>
      <w:keepNext/>
      <w:keepLines/>
      <w:spacing w:before="340" w:after="330" w:line="578" w:lineRule="auto"/>
      <w:outlineLvl w:val="0"/>
    </w:pPr>
    <w:rPr>
      <w:rFonts w:ascii="Times New Roman" w:hAnsi="Times New Roman" w:eastAsia="宋体" w:cs="Times New Roman"/>
      <w:b/>
      <w:bCs/>
      <w:kern w:val="44"/>
      <w:sz w:val="44"/>
      <w:szCs w:val="44"/>
    </w:rPr>
  </w:style>
  <w:style w:type="paragraph" w:styleId="3">
    <w:name w:val="heading 2"/>
    <w:basedOn w:val="1"/>
    <w:next w:val="1"/>
    <w:link w:val="15"/>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10">
    <w:name w:val="Default Paragraph Font"/>
    <w:semiHidden/>
    <w:unhideWhenUsed/>
    <w:uiPriority w:val="1"/>
  </w:style>
  <w:style w:type="table" w:default="1" w:styleId="9">
    <w:name w:val="Normal Table"/>
    <w:semiHidden/>
    <w:unhideWhenUsed/>
    <w:qFormat/>
    <w:uiPriority w:val="99"/>
    <w:tblPr>
      <w:tblCellMar>
        <w:top w:w="0" w:type="dxa"/>
        <w:left w:w="108" w:type="dxa"/>
        <w:bottom w:w="0" w:type="dxa"/>
        <w:right w:w="108" w:type="dxa"/>
      </w:tblCellMar>
    </w:tblPr>
  </w:style>
  <w:style w:type="paragraph" w:styleId="4">
    <w:name w:val="Body Text"/>
    <w:basedOn w:val="1"/>
    <w:link w:val="16"/>
    <w:qFormat/>
    <w:uiPriority w:val="99"/>
    <w:pPr>
      <w:spacing w:beforeLines="30"/>
    </w:pPr>
    <w:rPr>
      <w:rFonts w:ascii="仿宋_GB2312" w:hAnsi="Times New Roman" w:eastAsia="仿宋_GB2312" w:cs="Times New Roman"/>
      <w:kern w:val="0"/>
      <w:sz w:val="30"/>
      <w:szCs w:val="24"/>
    </w:rPr>
  </w:style>
  <w:style w:type="paragraph" w:styleId="5">
    <w:name w:val="Balloon Text"/>
    <w:basedOn w:val="1"/>
    <w:link w:val="13"/>
    <w:semiHidden/>
    <w:unhideWhenUsed/>
    <w:uiPriority w:val="99"/>
    <w:rPr>
      <w:sz w:val="18"/>
      <w:szCs w:val="18"/>
    </w:rPr>
  </w:style>
  <w:style w:type="paragraph" w:styleId="6">
    <w:name w:val="toc 1"/>
    <w:basedOn w:val="1"/>
    <w:next w:val="1"/>
    <w:unhideWhenUsed/>
    <w:qFormat/>
    <w:uiPriority w:val="39"/>
    <w:pPr>
      <w:tabs>
        <w:tab w:val="right" w:leader="dot" w:pos="8296"/>
      </w:tabs>
      <w:spacing w:before="93"/>
      <w:jc w:val="center"/>
    </w:pPr>
    <w:rPr>
      <w:rFonts w:ascii="仿宋" w:hAnsi="仿宋" w:eastAsia="仿宋" w:cs="Times New Roman"/>
      <w:sz w:val="28"/>
      <w:szCs w:val="28"/>
    </w:rPr>
  </w:style>
  <w:style w:type="paragraph" w:styleId="7">
    <w:name w:val="toc 2"/>
    <w:basedOn w:val="1"/>
    <w:next w:val="1"/>
    <w:unhideWhenUsed/>
    <w:qFormat/>
    <w:uiPriority w:val="39"/>
    <w:pPr>
      <w:tabs>
        <w:tab w:val="right" w:leader="dot" w:pos="8296"/>
      </w:tabs>
      <w:ind w:left="420" w:leftChars="200"/>
    </w:pPr>
    <w:rPr>
      <w:rFonts w:ascii="Times New Roman" w:hAnsi="Times New Roman" w:eastAsia="宋体" w:cs="Times New Roman"/>
      <w:szCs w:val="24"/>
    </w:rPr>
  </w:style>
  <w:style w:type="paragraph" w:styleId="8">
    <w:name w:val="Normal (Web)"/>
    <w:basedOn w:val="1"/>
    <w:semiHidden/>
    <w:unhideWhenUsed/>
    <w:qFormat/>
    <w:uiPriority w:val="99"/>
    <w:pPr>
      <w:spacing w:beforeAutospacing="1" w:afterAutospacing="1"/>
      <w:jc w:val="left"/>
    </w:pPr>
    <w:rPr>
      <w:rFonts w:ascii="Times New Roman" w:hAnsi="Times New Roman" w:eastAsia="宋体" w:cs="Times New Roman"/>
      <w:kern w:val="0"/>
      <w:sz w:val="24"/>
      <w:szCs w:val="24"/>
    </w:rPr>
  </w:style>
  <w:style w:type="character" w:styleId="11">
    <w:name w:val="Strong"/>
    <w:basedOn w:val="10"/>
    <w:qFormat/>
    <w:uiPriority w:val="99"/>
    <w:rPr>
      <w:b/>
    </w:rPr>
  </w:style>
  <w:style w:type="character" w:styleId="12">
    <w:name w:val="Hyperlink"/>
    <w:basedOn w:val="10"/>
    <w:unhideWhenUsed/>
    <w:qFormat/>
    <w:uiPriority w:val="99"/>
    <w:rPr>
      <w:color w:val="0000FF" w:themeColor="hyperlink"/>
      <w:u w:val="single"/>
    </w:rPr>
  </w:style>
  <w:style w:type="character" w:customStyle="1" w:styleId="13">
    <w:name w:val="批注框文本 Char"/>
    <w:basedOn w:val="10"/>
    <w:link w:val="5"/>
    <w:semiHidden/>
    <w:uiPriority w:val="99"/>
    <w:rPr>
      <w:sz w:val="18"/>
      <w:szCs w:val="18"/>
    </w:rPr>
  </w:style>
  <w:style w:type="character" w:customStyle="1" w:styleId="14">
    <w:name w:val="标题 1 Char"/>
    <w:basedOn w:val="10"/>
    <w:link w:val="2"/>
    <w:qFormat/>
    <w:uiPriority w:val="9"/>
    <w:rPr>
      <w:rFonts w:ascii="Times New Roman" w:hAnsi="Times New Roman" w:eastAsia="宋体" w:cs="Times New Roman"/>
      <w:b/>
      <w:bCs/>
      <w:kern w:val="44"/>
      <w:sz w:val="44"/>
      <w:szCs w:val="44"/>
    </w:rPr>
  </w:style>
  <w:style w:type="character" w:customStyle="1" w:styleId="15">
    <w:name w:val="标题 2 Char"/>
    <w:basedOn w:val="10"/>
    <w:link w:val="3"/>
    <w:qFormat/>
    <w:uiPriority w:val="9"/>
    <w:rPr>
      <w:rFonts w:asciiTheme="majorHAnsi" w:hAnsiTheme="majorHAnsi" w:eastAsiaTheme="majorEastAsia" w:cstheme="majorBidi"/>
      <w:b/>
      <w:bCs/>
      <w:sz w:val="32"/>
      <w:szCs w:val="32"/>
    </w:rPr>
  </w:style>
  <w:style w:type="character" w:customStyle="1" w:styleId="16">
    <w:name w:val="正文文本 Char"/>
    <w:basedOn w:val="10"/>
    <w:link w:val="4"/>
    <w:qFormat/>
    <w:uiPriority w:val="99"/>
    <w:rPr>
      <w:rFonts w:ascii="仿宋_GB2312" w:hAnsi="Times New Roman" w:eastAsia="仿宋_GB2312" w:cs="Times New Roman"/>
      <w:kern w:val="0"/>
      <w:sz w:val="30"/>
      <w:szCs w:val="24"/>
    </w:rPr>
  </w:style>
  <w:style w:type="paragraph" w:styleId="17">
    <w:name w:val="List Paragraph"/>
    <w:basedOn w:val="1"/>
    <w:qFormat/>
    <w:uiPriority w:val="34"/>
    <w:pPr>
      <w:ind w:firstLine="420" w:firstLineChars="200"/>
    </w:pPr>
    <w:rPr>
      <w:rFonts w:ascii="Times New Roman" w:hAnsi="Times New Roman" w:eastAsia="宋体" w:cs="Times New Roman"/>
      <w:szCs w:val="24"/>
    </w:rPr>
  </w:style>
  <w:style w:type="paragraph" w:customStyle="1" w:styleId="18">
    <w:name w:val="Default"/>
    <w:qFormat/>
    <w:uiPriority w:val="99"/>
    <w:pPr>
      <w:widowControl w:val="0"/>
      <w:autoSpaceDE w:val="0"/>
      <w:autoSpaceDN w:val="0"/>
      <w:adjustRightInd w:val="0"/>
    </w:pPr>
    <w:rPr>
      <w:rFonts w:ascii="仿宋" w:hAnsi="Calibri" w:eastAsia="仿宋" w:cs="仿宋"/>
      <w:color w:val="000000"/>
      <w:kern w:val="0"/>
      <w:sz w:val="24"/>
      <w:szCs w:val="24"/>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chart" Target="charts/chart6.xml"/><Relationship Id="rId8" Type="http://schemas.openxmlformats.org/officeDocument/2006/relationships/chart" Target="charts/chart5.xml"/><Relationship Id="rId7" Type="http://schemas.openxmlformats.org/officeDocument/2006/relationships/chart" Target="charts/chart4.xml"/><Relationship Id="rId6" Type="http://schemas.openxmlformats.org/officeDocument/2006/relationships/chart" Target="charts/chart3.xml"/><Relationship Id="rId5" Type="http://schemas.openxmlformats.org/officeDocument/2006/relationships/chart" Target="charts/chart2.xml"/><Relationship Id="rId4" Type="http://schemas.openxmlformats.org/officeDocument/2006/relationships/chart" Target="charts/chart1.xml"/><Relationship Id="rId3" Type="http://schemas.openxmlformats.org/officeDocument/2006/relationships/theme" Target="theme/theme1.xml"/><Relationship Id="rId2" Type="http://schemas.openxmlformats.org/officeDocument/2006/relationships/settings" Target="settings.xml"/><Relationship Id="rId14" Type="http://schemas.openxmlformats.org/officeDocument/2006/relationships/fontTable" Target="fontTable.xml"/><Relationship Id="rId13" Type="http://schemas.openxmlformats.org/officeDocument/2006/relationships/customXml" Target="../customXml/item2.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chart" Target="charts/chart7.xml"/><Relationship Id="rId1" Type="http://schemas.openxmlformats.org/officeDocument/2006/relationships/styles" Target="styles.xml"/></Relationships>
</file>

<file path=word/charts/_rels/chart1.xml.rels><?xml version="1.0" encoding="UTF-8" standalone="yes"?>
<Relationships xmlns="http://schemas.openxmlformats.org/package/2006/relationships"><Relationship Id="rId1" Type="http://schemas.openxmlformats.org/officeDocument/2006/relationships/package" Target="../embeddings/Workbook3.xlsx"/></Relationships>
</file>

<file path=word/charts/_rels/chart2.xml.rels><?xml version="1.0" encoding="UTF-8" standalone="yes"?>
<Relationships xmlns="http://schemas.openxmlformats.org/package/2006/relationships"><Relationship Id="rId1" Type="http://schemas.openxmlformats.org/officeDocument/2006/relationships/package" Target="../embeddings/Workbook5.xlsx"/></Relationships>
</file>

<file path=word/charts/_rels/chart3.xml.rels><?xml version="1.0" encoding="UTF-8" standalone="yes"?>
<Relationships xmlns="http://schemas.openxmlformats.org/package/2006/relationships"><Relationship Id="rId1" Type="http://schemas.openxmlformats.org/officeDocument/2006/relationships/package" Target="../embeddings/Workbook2.xlsx"/></Relationships>
</file>

<file path=word/charts/_rels/chart4.xml.rels><?xml version="1.0" encoding="UTF-8" standalone="yes"?>
<Relationships xmlns="http://schemas.openxmlformats.org/package/2006/relationships"><Relationship Id="rId1" Type="http://schemas.openxmlformats.org/officeDocument/2006/relationships/package" Target="../embeddings/Workbook4.xlsx"/></Relationships>
</file>

<file path=word/charts/_rels/chart5.xml.rels><?xml version="1.0" encoding="UTF-8" standalone="yes"?>
<Relationships xmlns="http://schemas.openxmlformats.org/package/2006/relationships"><Relationship Id="rId1" Type="http://schemas.openxmlformats.org/officeDocument/2006/relationships/package" Target="../embeddings/Workbook6.xlsx"/></Relationships>
</file>

<file path=word/charts/_rels/chart6.xml.rels><?xml version="1.0" encoding="UTF-8" standalone="yes"?>
<Relationships xmlns="http://schemas.openxmlformats.org/package/2006/relationships"><Relationship Id="rId1" Type="http://schemas.openxmlformats.org/officeDocument/2006/relationships/package" Target="../embeddings/Workbook7.xlsx"/></Relationships>
</file>

<file path=word/charts/_rels/chart7.xml.rels><?xml version="1.0" encoding="UTF-8" standalone="yes"?>
<Relationships xmlns="http://schemas.openxmlformats.org/package/2006/relationships"><Relationship Id="rId1" Type="http://schemas.openxmlformats.org/officeDocument/2006/relationships/package" Target="../embeddings/Workbook1.xlsx"/></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autoTitleDeleted val="1"/>
    <c:plotArea>
      <c:layout/>
      <c:barChart>
        <c:barDir val="col"/>
        <c:grouping val="stacked"/>
        <c:varyColors val="0"/>
        <c:ser>
          <c:idx val="0"/>
          <c:order val="0"/>
          <c:tx>
            <c:strRef>
              <c:f>Sheet1!$B$1</c:f>
              <c:strCache>
                <c:ptCount val="1"/>
                <c:pt idx="0">
                  <c:v>收、支决算总计变动情况图</c:v>
                </c:pt>
              </c:strCache>
            </c:strRef>
          </c:tx>
          <c:invertIfNegative val="0"/>
          <c:dLbls>
            <c:delete val="1"/>
          </c:dLbls>
          <c:cat>
            <c:strRef>
              <c:f>Sheet1!$A$2:$A$3</c:f>
              <c:strCache>
                <c:ptCount val="2"/>
                <c:pt idx="0">
                  <c:v>2017年</c:v>
                </c:pt>
                <c:pt idx="1">
                  <c:v>2018年</c:v>
                </c:pt>
              </c:strCache>
            </c:strRef>
          </c:cat>
          <c:val>
            <c:numRef>
              <c:f>Sheet1!$B$2:$B$3</c:f>
              <c:numCache>
                <c:formatCode>General</c:formatCode>
                <c:ptCount val="2"/>
              </c:numCache>
            </c:numRef>
          </c:val>
        </c:ser>
        <c:ser>
          <c:idx val="1"/>
          <c:order val="1"/>
          <c:tx>
            <c:strRef>
              <c:f>Sheet1!$C$1</c:f>
              <c:strCache>
                <c:ptCount val="1"/>
                <c:pt idx="0">
                  <c:v>年度收、支总计</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2017年</c:v>
                </c:pt>
                <c:pt idx="1">
                  <c:v>2018年</c:v>
                </c:pt>
              </c:strCache>
            </c:strRef>
          </c:cat>
          <c:val>
            <c:numRef>
              <c:f>Sheet1!$C$2:$C$3</c:f>
              <c:numCache>
                <c:formatCode>General</c:formatCode>
                <c:ptCount val="2"/>
                <c:pt idx="0">
                  <c:v>133.98</c:v>
                </c:pt>
                <c:pt idx="1">
                  <c:v>131.45</c:v>
                </c:pt>
              </c:numCache>
            </c:numRef>
          </c:val>
        </c:ser>
        <c:ser>
          <c:idx val="2"/>
          <c:order val="2"/>
          <c:tx>
            <c:strRef>
              <c:f>Sheet1!$D$1</c:f>
              <c:strCache>
                <c:ptCount val="1"/>
                <c:pt idx="0">
                  <c:v>系列 3</c:v>
                </c:pt>
              </c:strCache>
            </c:strRef>
          </c:tx>
          <c:invertIfNegative val="0"/>
          <c:dLbls>
            <c:delete val="1"/>
          </c:dLbls>
          <c:cat>
            <c:strRef>
              <c:f>Sheet1!$A$2:$A$3</c:f>
              <c:strCache>
                <c:ptCount val="2"/>
                <c:pt idx="0">
                  <c:v>2017年</c:v>
                </c:pt>
                <c:pt idx="1">
                  <c:v>2018年</c:v>
                </c:pt>
              </c:strCache>
            </c:strRef>
          </c:cat>
          <c:val>
            <c:numRef>
              <c:f>Sheet1!$D$2:$D$3</c:f>
              <c:numCache>
                <c:formatCode>General</c:formatCode>
                <c:ptCount val="2"/>
              </c:numCache>
            </c:numRef>
          </c:val>
        </c:ser>
        <c:dLbls>
          <c:showLegendKey val="0"/>
          <c:showVal val="0"/>
          <c:showCatName val="0"/>
          <c:showSerName val="0"/>
          <c:showPercent val="0"/>
          <c:showBubbleSize val="0"/>
        </c:dLbls>
        <c:gapWidth val="150"/>
        <c:overlap val="100"/>
        <c:axId val="291853056"/>
        <c:axId val="291854592"/>
      </c:barChart>
      <c:catAx>
        <c:axId val="291853056"/>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91854592"/>
        <c:crosses val="autoZero"/>
        <c:auto val="1"/>
        <c:lblAlgn val="ctr"/>
        <c:lblOffset val="100"/>
        <c:noMultiLvlLbl val="0"/>
      </c:catAx>
      <c:valAx>
        <c:axId val="291854592"/>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291853056"/>
        <c:crosses val="autoZero"/>
        <c:crossBetween val="between"/>
      </c:valAx>
    </c:plotArea>
    <c:legend>
      <c:legendPos val="r"/>
      <c:legendEntry>
        <c:idx val="0"/>
        <c:delete val="1"/>
      </c:legendEntry>
      <c:legendEntry>
        <c:idx val="2"/>
        <c:delete val="1"/>
      </c:legendEntry>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2.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收入决算情况说明</c:v>
                </c:pt>
              </c:strCache>
            </c:strRef>
          </c:tx>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Sheet1!$A$2:$A$3</c:f>
              <c:strCache>
                <c:ptCount val="1"/>
                <c:pt idx="0">
                  <c:v>公共预算财政拨款收入</c:v>
                </c:pt>
              </c:strCache>
            </c:strRef>
          </c:cat>
          <c:val>
            <c:numRef>
              <c:f>Sheet1!$B$2:$B$3</c:f>
              <c:numCache>
                <c:formatCode>General</c:formatCode>
                <c:ptCount val="2"/>
                <c:pt idx="0">
                  <c:v>131.45</c:v>
                </c:pt>
              </c:numCache>
            </c:numRef>
          </c:val>
        </c:ser>
        <c:ser>
          <c:idx val="1"/>
          <c:order val="1"/>
          <c:tx>
            <c:strRef>
              <c:f>Sheet1!$C$1</c:f>
              <c:strCache>
                <c:ptCount val="1"/>
                <c:pt idx="0">
                  <c:v>列1</c:v>
                </c:pt>
              </c:strCache>
            </c:strRef>
          </c:tx>
          <c:explosion val="0"/>
          <c:dPt>
            <c:idx val="0"/>
            <c:bubble3D val="0"/>
          </c:dPt>
          <c:dPt>
            <c:idx val="1"/>
            <c:bubble3D val="0"/>
          </c:dPt>
          <c:dLbls>
            <c:delete val="1"/>
          </c:dLbls>
          <c:cat>
            <c:strRef>
              <c:f>Sheet1!$A$2:$A$3</c:f>
              <c:strCache>
                <c:ptCount val="1"/>
                <c:pt idx="0">
                  <c:v>公共预算财政拨款收入</c:v>
                </c:pt>
              </c:strCache>
            </c:strRef>
          </c:cat>
          <c:val>
            <c:numRef>
              <c:f>Sheet1!$C$2:$C$3</c:f>
              <c:numCache>
                <c:formatCode>General</c:formatCode>
                <c:ptCount val="2"/>
                <c:pt idx="0">
                  <c:v>131.45</c:v>
                </c:pt>
              </c:numCache>
            </c:numRef>
          </c:val>
        </c:ser>
        <c:dLbls>
          <c:showLegendKey val="0"/>
          <c:showVal val="0"/>
          <c:showCatName val="0"/>
          <c:showSerName val="0"/>
          <c:showPercent val="0"/>
          <c:showBubbleSize val="0"/>
          <c:showLeaderLines val="1"/>
        </c:dLbls>
        <c:firstSliceAng val="0"/>
      </c:pieChart>
    </c:plotArea>
    <c:legend>
      <c:legendPos val="r"/>
      <c:legendEntry>
        <c:idx val="1"/>
        <c:delete val="1"/>
      </c:legendEntry>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3.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支出决算结构图</c:v>
                </c:pt>
              </c:strCache>
            </c:strRef>
          </c:tx>
          <c:explosion val="0"/>
          <c:dPt>
            <c:idx val="0"/>
            <c:bubble3D val="0"/>
          </c:dPt>
          <c:dPt>
            <c:idx val="1"/>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Sheet1!$A$2:$A$3</c:f>
              <c:strCache>
                <c:ptCount val="2"/>
                <c:pt idx="0">
                  <c:v>基本支出</c:v>
                </c:pt>
                <c:pt idx="1">
                  <c:v>项目支出</c:v>
                </c:pt>
              </c:strCache>
            </c:strRef>
          </c:cat>
          <c:val>
            <c:numRef>
              <c:f>Sheet1!$B$2:$B$3</c:f>
              <c:numCache>
                <c:formatCode>General</c:formatCode>
                <c:ptCount val="2"/>
                <c:pt idx="0">
                  <c:v>102.87</c:v>
                </c:pt>
                <c:pt idx="1">
                  <c:v>28.58</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4.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manualLayout>
          <c:xMode val="edge"/>
          <c:yMode val="edge"/>
          <c:x val="0.1664458478929"/>
          <c:y val="0"/>
        </c:manualLayout>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stacked"/>
        <c:varyColors val="0"/>
        <c:ser>
          <c:idx val="0"/>
          <c:order val="0"/>
          <c:tx>
            <c:strRef>
              <c:f>Sheet1!$B$1</c:f>
              <c:strCache>
                <c:ptCount val="1"/>
                <c:pt idx="0">
                  <c:v>财政拨款收、支决算总计变动情况</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numRef>
              <c:f>Sheet1!$A$2:$A$3</c:f>
              <c:numCache>
                <c:formatCode>General</c:formatCode>
                <c:ptCount val="2"/>
                <c:pt idx="0">
                  <c:v>2017</c:v>
                </c:pt>
                <c:pt idx="1">
                  <c:v>2018</c:v>
                </c:pt>
              </c:numCache>
            </c:numRef>
          </c:cat>
          <c:val>
            <c:numRef>
              <c:f>Sheet1!$B$2:$B$3</c:f>
              <c:numCache>
                <c:formatCode>General</c:formatCode>
                <c:ptCount val="2"/>
                <c:pt idx="0">
                  <c:v>133.98</c:v>
                </c:pt>
                <c:pt idx="1">
                  <c:v>131.45</c:v>
                </c:pt>
              </c:numCache>
            </c:numRef>
          </c:val>
        </c:ser>
        <c:dLbls>
          <c:showLegendKey val="0"/>
          <c:showVal val="1"/>
          <c:showCatName val="0"/>
          <c:showSerName val="0"/>
          <c:showPercent val="0"/>
          <c:showBubbleSize val="0"/>
        </c:dLbls>
        <c:gapWidth val="150"/>
        <c:overlap val="100"/>
        <c:axId val="301185664"/>
        <c:axId val="301470080"/>
      </c:barChart>
      <c:catAx>
        <c:axId val="301185664"/>
        <c:scaling>
          <c:orientation val="minMax"/>
        </c:scaling>
        <c:delete val="0"/>
        <c:axPos val="b"/>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01470080"/>
        <c:crosses val="autoZero"/>
        <c:auto val="1"/>
        <c:lblAlgn val="ctr"/>
        <c:lblOffset val="100"/>
        <c:noMultiLvlLbl val="0"/>
      </c:catAx>
      <c:valAx>
        <c:axId val="301470080"/>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01185664"/>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5.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barChart>
        <c:barDir val="col"/>
        <c:grouping val="stacked"/>
        <c:varyColors val="0"/>
        <c:ser>
          <c:idx val="0"/>
          <c:order val="0"/>
          <c:tx>
            <c:strRef>
              <c:f>Sheet1!$B$1</c:f>
              <c:strCache>
                <c:ptCount val="1"/>
                <c:pt idx="0">
                  <c:v>一般公共预算财政拨款支出决算变动情况</c:v>
                </c:pt>
              </c:strCache>
            </c:strRef>
          </c:tx>
          <c:invertIfNegative val="0"/>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ctr"/>
            <c:showLegendKey val="0"/>
            <c:showVal val="1"/>
            <c:showCatName val="0"/>
            <c:showSerName val="0"/>
            <c:showPercent val="0"/>
            <c:showBubbleSize val="0"/>
            <c:showLeaderLines val="0"/>
            <c:extLst>
              <c:ext xmlns:c15="http://schemas.microsoft.com/office/drawing/2012/chart" uri="{CE6537A1-D6FC-4f65-9D91-7224C49458BB}">
                <c15:layout/>
                <c15:showLeaderLines val="0"/>
                <c15:leaderLines/>
              </c:ext>
            </c:extLst>
          </c:dLbls>
          <c:cat>
            <c:strRef>
              <c:f>Sheet1!$A$2:$A$3</c:f>
              <c:strCache>
                <c:ptCount val="2"/>
                <c:pt idx="0">
                  <c:v>2017年</c:v>
                </c:pt>
                <c:pt idx="1">
                  <c:v>2018年</c:v>
                </c:pt>
              </c:strCache>
            </c:strRef>
          </c:cat>
          <c:val>
            <c:numRef>
              <c:f>Sheet1!$B$2:$B$3</c:f>
              <c:numCache>
                <c:formatCode>General</c:formatCode>
                <c:ptCount val="2"/>
                <c:pt idx="0">
                  <c:v>133.98</c:v>
                </c:pt>
                <c:pt idx="1">
                  <c:v>131.45</c:v>
                </c:pt>
              </c:numCache>
            </c:numRef>
          </c:val>
        </c:ser>
        <c:dLbls>
          <c:showLegendKey val="0"/>
          <c:showVal val="1"/>
          <c:showCatName val="0"/>
          <c:showSerName val="0"/>
          <c:showPercent val="0"/>
          <c:showBubbleSize val="0"/>
        </c:dLbls>
        <c:gapWidth val="150"/>
        <c:overlap val="100"/>
        <c:axId val="312288768"/>
        <c:axId val="312290688"/>
      </c:barChart>
      <c:catAx>
        <c:axId val="312288768"/>
        <c:scaling>
          <c:orientation val="minMax"/>
        </c:scaling>
        <c:delete val="0"/>
        <c:axPos val="b"/>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12290688"/>
        <c:crosses val="autoZero"/>
        <c:auto val="1"/>
        <c:lblAlgn val="ctr"/>
        <c:lblOffset val="100"/>
        <c:noMultiLvlLbl val="0"/>
      </c:catAx>
      <c:valAx>
        <c:axId val="312290688"/>
        <c:scaling>
          <c:orientation val="minMax"/>
        </c:scaling>
        <c:delete val="0"/>
        <c:axPos val="l"/>
        <c:majorGridlines/>
        <c:numFmt formatCode="General" sourceLinked="1"/>
        <c:majorTickMark val="out"/>
        <c:minorTickMark val="none"/>
        <c:tickLblPos val="nextTo"/>
        <c:txPr>
          <a:bodyPr rot="-6000000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crossAx val="312288768"/>
        <c:crosses val="autoZero"/>
        <c:crossBetween val="between"/>
      </c:valAx>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6.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一般公共预算财政拨款支出决算结构</c:v>
                </c:pt>
              </c:strCache>
            </c:strRef>
          </c:tx>
          <c:explosion val="0"/>
          <c:dPt>
            <c:idx val="0"/>
            <c:bubble3D val="0"/>
          </c:dPt>
          <c:dPt>
            <c:idx val="1"/>
            <c:bubble3D val="0"/>
          </c:dPt>
          <c:dPt>
            <c:idx val="2"/>
            <c:bubble3D val="0"/>
          </c:dPt>
          <c:dPt>
            <c:idx val="3"/>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Sheet1!$A$2:$A$5</c:f>
              <c:strCache>
                <c:ptCount val="4"/>
                <c:pt idx="0">
                  <c:v>一般公共服务支出（类）</c:v>
                </c:pt>
                <c:pt idx="1">
                  <c:v>社会保障和就业（类）</c:v>
                </c:pt>
                <c:pt idx="2">
                  <c:v>医疗卫生支出</c:v>
                </c:pt>
                <c:pt idx="3">
                  <c:v>住房保障支出</c:v>
                </c:pt>
              </c:strCache>
            </c:strRef>
          </c:cat>
          <c:val>
            <c:numRef>
              <c:f>Sheet1!$B$2:$B$5</c:f>
              <c:numCache>
                <c:formatCode>General</c:formatCode>
                <c:ptCount val="4"/>
                <c:pt idx="0">
                  <c:v>108.45</c:v>
                </c:pt>
                <c:pt idx="1">
                  <c:v>10.82</c:v>
                </c:pt>
                <c:pt idx="2">
                  <c:v>3.65</c:v>
                </c:pt>
                <c:pt idx="3">
                  <c:v>8.53</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charts/chart7.xml><?xml version="1.0" encoding="utf-8"?>
<c:chartSpace xmlns:c="http://schemas.openxmlformats.org/drawingml/2006/chart" xmlns:a="http://schemas.openxmlformats.org/drawingml/2006/main" xmlns:r="http://schemas.openxmlformats.org/officeDocument/2006/relationships">
  <c:date1904 val="0"/>
  <c:lang val="zh-CN"/>
  <c:roundedCorners val="0"/>
  <mc:AlternateContent xmlns:mc="http://schemas.openxmlformats.org/markup-compatibility/2006">
    <mc:Choice xmlns:c14="http://schemas.microsoft.com/office/drawing/2007/8/2/chart" Requires="c14">
      <c14:style val="102"/>
    </mc:Choice>
    <mc:Fallback>
      <c:style val="2"/>
    </mc:Fallback>
  </mc:AlternateContent>
  <c:chart>
    <c:title>
      <c:layout/>
      <c:overlay val="0"/>
      <c:txPr>
        <a:bodyPr rot="0" spcFirstLastPara="0" vertOverflow="ellipsis" vert="horz" wrap="square" anchor="ctr" anchorCtr="1"/>
        <a:lstStyle/>
        <a:p>
          <a:pPr>
            <a:defRPr lang="zh-CN" sz="1800" b="1" i="0" u="none" strike="noStrike" kern="1200" baseline="0">
              <a:solidFill>
                <a:schemeClr val="tx1"/>
              </a:solidFill>
              <a:latin typeface="+mn-lt"/>
              <a:ea typeface="+mn-ea"/>
              <a:cs typeface="+mn-cs"/>
            </a:defRPr>
          </a:pPr>
        </a:p>
      </c:txPr>
    </c:title>
    <c:autoTitleDeleted val="0"/>
    <c:plotArea>
      <c:layout/>
      <c:pieChart>
        <c:varyColors val="1"/>
        <c:ser>
          <c:idx val="0"/>
          <c:order val="0"/>
          <c:tx>
            <c:strRef>
              <c:f>Sheet1!$B$1</c:f>
              <c:strCache>
                <c:ptCount val="1"/>
                <c:pt idx="0">
                  <c:v>“三公”经费财政拨款支出结构</c:v>
                </c:pt>
              </c:strCache>
            </c:strRef>
          </c:tx>
          <c:explosion val="0"/>
          <c:dPt>
            <c:idx val="0"/>
            <c:bubble3D val="0"/>
          </c:dPt>
          <c:dPt>
            <c:idx val="1"/>
            <c:bubble3D val="0"/>
          </c:dPt>
          <c:dPt>
            <c:idx val="2"/>
            <c:bubble3D val="0"/>
          </c:dPt>
          <c:dLbls>
            <c:spPr>
              <a:noFill/>
              <a:ln>
                <a:noFill/>
              </a:ln>
              <a:effectLst/>
            </c:spPr>
            <c:txPr>
              <a:bodyPr rot="0" spcFirstLastPara="0" vertOverflow="ellipsis" vert="horz" wrap="square" lIns="38100" tIns="19050" rIns="38100" bIns="19050" anchor="ctr" anchorCtr="1"/>
              <a:lstStyle/>
              <a:p>
                <a:pPr>
                  <a:defRPr lang="zh-CN" sz="1000" b="0" i="0" u="none" strike="noStrike" kern="1200" baseline="0">
                    <a:solidFill>
                      <a:schemeClr val="tx1"/>
                    </a:solidFill>
                    <a:latin typeface="+mn-lt"/>
                    <a:ea typeface="+mn-ea"/>
                    <a:cs typeface="+mn-cs"/>
                  </a:defRPr>
                </a:pPr>
              </a:p>
            </c:txPr>
            <c:dLblPos val="bestFit"/>
            <c:showLegendKey val="0"/>
            <c:showVal val="1"/>
            <c:showCatName val="0"/>
            <c:showSerName val="0"/>
            <c:showPercent val="0"/>
            <c:showBubbleSize val="0"/>
            <c:showLeaderLines val="1"/>
            <c:extLst>
              <c:ext xmlns:c15="http://schemas.microsoft.com/office/drawing/2012/chart" uri="{CE6537A1-D6FC-4f65-9D91-7224C49458BB}">
                <c15:layout/>
                <c15:showLeaderLines val="1"/>
                <c15:leaderLines/>
              </c:ext>
            </c:extLst>
          </c:dLbls>
          <c:cat>
            <c:strRef>
              <c:f>Sheet1!$A$2:$A$4</c:f>
              <c:strCache>
                <c:ptCount val="3"/>
                <c:pt idx="0">
                  <c:v>因公出国（境）支出</c:v>
                </c:pt>
                <c:pt idx="1">
                  <c:v>公务用车购置及运行维护费支出</c:v>
                </c:pt>
                <c:pt idx="2">
                  <c:v>公务接待费支出决算</c:v>
                </c:pt>
              </c:strCache>
            </c:strRef>
          </c:cat>
          <c:val>
            <c:numRef>
              <c:f>Sheet1!$B$2:$B$4</c:f>
              <c:numCache>
                <c:formatCode>General</c:formatCode>
                <c:ptCount val="3"/>
                <c:pt idx="0">
                  <c:v>0</c:v>
                </c:pt>
                <c:pt idx="1">
                  <c:v>0</c:v>
                </c:pt>
                <c:pt idx="2">
                  <c:v>2.6</c:v>
                </c:pt>
              </c:numCache>
            </c:numRef>
          </c:val>
        </c:ser>
        <c:dLbls>
          <c:showLegendKey val="0"/>
          <c:showVal val="1"/>
          <c:showCatName val="0"/>
          <c:showSerName val="0"/>
          <c:showPercent val="0"/>
          <c:showBubbleSize val="0"/>
          <c:showLeaderLines val="1"/>
        </c:dLbls>
        <c:firstSliceAng val="0"/>
      </c:pieChart>
    </c:plotArea>
    <c:legend>
      <c:legendPos val="r"/>
      <c:layout/>
      <c:overlay val="0"/>
      <c:txPr>
        <a:bodyPr rot="0" spcFirstLastPara="0" vertOverflow="ellipsis" vert="horz" wrap="square" anchor="ctr" anchorCtr="1"/>
        <a:lstStyle/>
        <a:p>
          <a:pPr>
            <a:defRPr lang="zh-CN" sz="1000" b="0" i="0" u="none" strike="noStrike" kern="1200" baseline="0">
              <a:solidFill>
                <a:schemeClr val="tx1"/>
              </a:solidFill>
              <a:latin typeface="+mn-lt"/>
              <a:ea typeface="+mn-ea"/>
              <a:cs typeface="+mn-cs"/>
            </a:defRPr>
          </a:pPr>
        </a:p>
      </c:txPr>
    </c:legend>
    <c:plotVisOnly val="1"/>
    <c:dispBlanksAs val="gap"/>
    <c:showDLblsOverMax val="0"/>
  </c:chart>
  <c:txPr>
    <a:bodyPr/>
    <a:lstStyle/>
    <a:p>
      <a:pPr>
        <a:defRPr lang="zh-CN"/>
      </a:pPr>
    </a:p>
  </c:txPr>
  <c:externalData r:id="rId1">
    <c:autoUpdate val="0"/>
  </c:externalData>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DE18C78E-C7ED-4CCB-9DBE-CE0AE2A468DA}">
  <ds:schemaRefs/>
</ds:datastoreItem>
</file>

<file path=docProps/app.xml><?xml version="1.0" encoding="utf-8"?>
<Properties xmlns="http://schemas.openxmlformats.org/officeDocument/2006/extended-properties" xmlns:vt="http://schemas.openxmlformats.org/officeDocument/2006/docPropsVTypes">
  <Template>Normal.dotm</Template>
  <Company>微软中国</Company>
  <Pages>32</Pages>
  <Words>2388</Words>
  <Characters>13612</Characters>
  <Lines>113</Lines>
  <Paragraphs>31</Paragraphs>
  <TotalTime>25</TotalTime>
  <ScaleCrop>false</ScaleCrop>
  <LinksUpToDate>false</LinksUpToDate>
  <CharactersWithSpaces>15969</CharactersWithSpaces>
  <Application>WPS Office_11.1.0.9175_F1E327BC-269C-435d-A152-05C5408002CA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2019-10-27T07:50:00Z</dcterms:created>
  <dc:creator>张魏</dc:creator>
  <cp:lastModifiedBy>淡然</cp:lastModifiedBy>
  <dcterms:modified xsi:type="dcterms:W3CDTF">2019-10-29T08:58:34Z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2052-11.1.0.9175</vt:lpwstr>
  </property>
</Properties>
</file>