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7425"/>
      <w:bookmarkStart w:id="3" w:name="_Toc15378441"/>
      <w:bookmarkStart w:id="4" w:name="_Toc15396475"/>
      <w:bookmarkStart w:id="5" w:name="_Toc15396597"/>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77194"/>
      <w:bookmarkStart w:id="8" w:name="_Toc15378442"/>
      <w:bookmarkStart w:id="9" w:name="_Toc15396476"/>
      <w:bookmarkStart w:id="10" w:name="_Toc15396598"/>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攀枝花市仁和区</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纪委部门决算</w:t>
      </w:r>
      <w:bookmarkEnd w:id="6"/>
      <w:bookmarkEnd w:id="7"/>
      <w:bookmarkEnd w:id="8"/>
      <w:bookmarkEnd w:id="9"/>
      <w:bookmarkEnd w:id="10"/>
      <w:bookmarkEnd w:id="11"/>
    </w:p>
    <w:p>
      <w:pPr>
        <w:adjustRightInd w:val="0"/>
        <w:snapToGrid w:val="0"/>
        <w:spacing w:line="360" w:lineRule="auto"/>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
      <w:pPr>
        <w:pStyle w:val="10"/>
        <w:rPr>
          <w:rFonts w:cstheme="minorBidi"/>
        </w:rPr>
      </w:pPr>
      <w:r>
        <w:fldChar w:fldCharType="begin"/>
      </w:r>
      <w:r>
        <w:instrText xml:space="preserve"> HYPERLINK \l "_Toc15396599" </w:instrText>
      </w:r>
      <w:r>
        <w:fldChar w:fldCharType="separate"/>
      </w:r>
      <w:r>
        <w:rPr>
          <w:rStyle w:val="15"/>
          <w:rFonts w:hint="eastAsia"/>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5"/>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5"/>
          <w:rFonts w:hint="eastAsia" w:ascii="仿宋" w:hAnsi="仿宋" w:eastAsia="仿宋"/>
          <w:sz w:val="28"/>
          <w:szCs w:val="28"/>
        </w:rPr>
        <w:t>二、机构设置</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5"/>
          <w:rFonts w:hint="eastAsia"/>
        </w:rPr>
        <w:t>第二部分</w:t>
      </w:r>
      <w:r>
        <w:rPr>
          <w:rStyle w:val="15"/>
        </w:rPr>
        <w:t xml:space="preserve"> 2018</w:t>
      </w:r>
      <w:r>
        <w:rPr>
          <w:rStyle w:val="15"/>
          <w:rFonts w:hint="eastAsia"/>
        </w:rPr>
        <w:t>年度部门决算情况说明</w:t>
      </w:r>
      <w:r>
        <w:tab/>
      </w:r>
      <w:r>
        <w:fldChar w:fldCharType="begin"/>
      </w:r>
      <w:r>
        <w:instrText xml:space="preserve"> PAGEREF _Toc15396602 \h </w:instrText>
      </w:r>
      <w:r>
        <w:fldChar w:fldCharType="separate"/>
      </w:r>
      <w:r>
        <w:t>8</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5"/>
          <w:rFonts w:hint="eastAsia" w:ascii="仿宋" w:hAnsi="仿宋" w:eastAsia="仿宋" w:cstheme="majorBidi"/>
          <w:bCs/>
          <w:sz w:val="28"/>
          <w:szCs w:val="28"/>
        </w:rPr>
        <w:t>一、</w:t>
      </w:r>
      <w:r>
        <w:rPr>
          <w:rStyle w:val="15"/>
          <w:rFonts w:hint="eastAsia" w:ascii="仿宋" w:hAnsi="仿宋" w:eastAsia="仿宋"/>
          <w:sz w:val="28"/>
          <w:szCs w:val="28"/>
        </w:rPr>
        <w:t>收</w:t>
      </w:r>
      <w:r>
        <w:rPr>
          <w:rStyle w:val="15"/>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5"/>
          <w:rFonts w:hint="eastAsia" w:ascii="仿宋" w:hAnsi="仿宋" w:eastAsia="仿宋" w:cstheme="majorBidi"/>
          <w:bCs/>
          <w:sz w:val="28"/>
          <w:szCs w:val="28"/>
        </w:rPr>
        <w:t>二、</w:t>
      </w:r>
      <w:r>
        <w:rPr>
          <w:rStyle w:val="15"/>
          <w:rFonts w:hint="eastAsia" w:ascii="仿宋" w:hAnsi="仿宋" w:eastAsia="仿宋"/>
          <w:sz w:val="28"/>
          <w:szCs w:val="28"/>
        </w:rPr>
        <w:t>收</w:t>
      </w:r>
      <w:r>
        <w:rPr>
          <w:rStyle w:val="15"/>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5"/>
          <w:rFonts w:hint="eastAsia" w:ascii="仿宋" w:hAnsi="仿宋" w:eastAsia="仿宋" w:cstheme="majorBidi"/>
          <w:bCs/>
          <w:sz w:val="28"/>
          <w:szCs w:val="28"/>
        </w:rPr>
        <w:t>三、</w:t>
      </w:r>
      <w:r>
        <w:rPr>
          <w:rStyle w:val="15"/>
          <w:rFonts w:hint="eastAsia" w:ascii="仿宋" w:hAnsi="仿宋" w:eastAsia="仿宋"/>
          <w:sz w:val="28"/>
          <w:szCs w:val="28"/>
        </w:rPr>
        <w:t>支</w:t>
      </w:r>
      <w:r>
        <w:rPr>
          <w:rStyle w:val="15"/>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5"/>
          <w:rFonts w:hint="eastAsia" w:ascii="仿宋" w:hAnsi="仿宋" w:eastAsia="仿宋"/>
          <w:sz w:val="28"/>
          <w:szCs w:val="28"/>
        </w:rPr>
        <w:t>四、财</w:t>
      </w:r>
      <w:r>
        <w:rPr>
          <w:rStyle w:val="15"/>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5"/>
          <w:rFonts w:hint="eastAsia" w:ascii="仿宋" w:hAnsi="仿宋" w:eastAsia="仿宋"/>
          <w:sz w:val="28"/>
          <w:szCs w:val="28"/>
        </w:rPr>
        <w:t>五、一</w:t>
      </w:r>
      <w:r>
        <w:rPr>
          <w:rStyle w:val="15"/>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5"/>
          <w:rFonts w:hint="eastAsia" w:ascii="仿宋" w:hAnsi="仿宋" w:eastAsia="仿宋"/>
          <w:sz w:val="28"/>
          <w:szCs w:val="28"/>
        </w:rPr>
        <w:t>六、一</w:t>
      </w:r>
      <w:r>
        <w:rPr>
          <w:rStyle w:val="15"/>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5"/>
          <w:rFonts w:hint="eastAsia" w:ascii="仿宋" w:hAnsi="仿宋" w:eastAsia="仿宋"/>
          <w:sz w:val="28"/>
          <w:szCs w:val="28"/>
        </w:rPr>
        <w:t>七、</w:t>
      </w:r>
      <w:r>
        <w:rPr>
          <w:rStyle w:val="15"/>
          <w:rFonts w:ascii="仿宋" w:hAnsi="仿宋" w:eastAsia="仿宋"/>
          <w:sz w:val="28"/>
          <w:szCs w:val="28"/>
        </w:rPr>
        <w:t>“</w:t>
      </w:r>
      <w:r>
        <w:rPr>
          <w:rStyle w:val="15"/>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5"/>
          <w:rFonts w:hint="eastAsia" w:ascii="仿宋" w:hAnsi="仿宋" w:eastAsia="仿宋"/>
          <w:sz w:val="28"/>
          <w:szCs w:val="28"/>
        </w:rPr>
        <w:t>八、</w:t>
      </w:r>
      <w:r>
        <w:rPr>
          <w:rStyle w:val="15"/>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5"/>
          <w:rFonts w:hint="eastAsia" w:ascii="仿宋" w:hAnsi="仿宋" w:eastAsia="仿宋" w:cstheme="majorBidi"/>
          <w:bCs/>
          <w:sz w:val="28"/>
          <w:szCs w:val="28"/>
        </w:rPr>
        <w:t>九、</w:t>
      </w:r>
      <w:r>
        <w:rPr>
          <w:rStyle w:val="15"/>
          <w:rFonts w:hint="eastAsia" w:ascii="仿宋" w:hAnsi="仿宋" w:eastAsia="仿宋"/>
          <w:sz w:val="28"/>
          <w:szCs w:val="28"/>
        </w:rPr>
        <w:t xml:space="preserve"> 国</w:t>
      </w:r>
      <w:r>
        <w:rPr>
          <w:rStyle w:val="15"/>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、预算绩效情况说明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lang w:val="en-US" w:eastAsia="zh-CN"/>
        </w:rPr>
        <w:t>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5"/>
          <w:rFonts w:hint="eastAsia" w:ascii="仿宋" w:hAnsi="仿宋" w:eastAsia="仿宋"/>
          <w:sz w:val="28"/>
          <w:szCs w:val="28"/>
        </w:rPr>
        <w:t>十</w:t>
      </w:r>
      <w:r>
        <w:rPr>
          <w:rStyle w:val="15"/>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10"/>
        <w:rPr>
          <w:rFonts w:hint="eastAsia" w:eastAsia="仿宋" w:cstheme="minorBidi"/>
          <w:lang w:val="en-US" w:eastAsia="zh-CN"/>
        </w:rPr>
      </w:pPr>
      <w:r>
        <w:fldChar w:fldCharType="begin"/>
      </w:r>
      <w:r>
        <w:instrText xml:space="preserve"> HYPERLINK \l "_Toc15396613" </w:instrText>
      </w:r>
      <w:r>
        <w:fldChar w:fldCharType="separate"/>
      </w:r>
      <w:r>
        <w:rPr>
          <w:rStyle w:val="15"/>
          <w:rFonts w:hint="eastAsia"/>
          <w:bCs/>
          <w:kern w:val="44"/>
        </w:rPr>
        <w:t>第三部分</w:t>
      </w:r>
      <w:r>
        <w:rPr>
          <w:rStyle w:val="15"/>
          <w:rFonts w:hint="eastAsia"/>
        </w:rPr>
        <w:t xml:space="preserve"> 名</w:t>
      </w:r>
      <w:r>
        <w:rPr>
          <w:rStyle w:val="15"/>
          <w:rFonts w:hint="eastAsia"/>
          <w:bCs/>
          <w:kern w:val="44"/>
        </w:rPr>
        <w:t>词解释</w:t>
      </w:r>
      <w:r>
        <w:tab/>
      </w:r>
      <w:r>
        <w:rPr>
          <w:rFonts w:hint="eastAsia"/>
          <w:lang w:val="en-US" w:eastAsia="zh-CN"/>
        </w:rPr>
        <w:t>1</w:t>
      </w:r>
      <w:r>
        <w:fldChar w:fldCharType="end"/>
      </w:r>
      <w:r>
        <w:rPr>
          <w:rFonts w:hint="eastAsia"/>
          <w:lang w:val="en-US" w:eastAsia="zh-CN"/>
        </w:rPr>
        <w:t>7</w:t>
      </w:r>
    </w:p>
    <w:p>
      <w:pPr>
        <w:pStyle w:val="10"/>
        <w:rPr>
          <w:rFonts w:hint="eastAsia" w:eastAsia="仿宋" w:cstheme="minorBidi"/>
          <w:lang w:val="en-US" w:eastAsia="zh-CN"/>
        </w:rPr>
      </w:pPr>
      <w:r>
        <w:fldChar w:fldCharType="begin"/>
      </w:r>
      <w:r>
        <w:instrText xml:space="preserve"> HYPERLINK \l "_Toc15396614" </w:instrText>
      </w:r>
      <w:r>
        <w:fldChar w:fldCharType="separate"/>
      </w:r>
      <w:r>
        <w:rPr>
          <w:rStyle w:val="15"/>
          <w:rFonts w:hint="eastAsia"/>
        </w:rPr>
        <w:t>第</w:t>
      </w:r>
      <w:r>
        <w:rPr>
          <w:rStyle w:val="15"/>
          <w:rFonts w:hint="eastAsia"/>
          <w:bCs/>
          <w:kern w:val="44"/>
        </w:rPr>
        <w:t>四部分附件</w:t>
      </w:r>
      <w:r>
        <w:tab/>
      </w:r>
      <w:r>
        <w:rPr>
          <w:rFonts w:hint="eastAsia"/>
          <w:lang w:val="en-US" w:eastAsia="zh-CN"/>
        </w:rPr>
        <w:t>2</w:t>
      </w:r>
      <w:r>
        <w:fldChar w:fldCharType="end"/>
      </w:r>
      <w:r>
        <w:rPr>
          <w:rFonts w:hint="eastAsia"/>
          <w:lang w:val="en-US" w:eastAsia="zh-CN"/>
        </w:rPr>
        <w:t>0</w:t>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3</w:t>
      </w:r>
      <w:r>
        <w:rPr>
          <w:rFonts w:ascii="仿宋" w:hAnsi="仿宋" w:eastAsia="仿宋"/>
          <w:sz w:val="28"/>
          <w:szCs w:val="28"/>
        </w:rPr>
        <w:fldChar w:fldCharType="end"/>
      </w:r>
      <w:r>
        <w:rPr>
          <w:rFonts w:ascii="仿宋" w:hAnsi="仿宋" w:eastAsia="仿宋"/>
          <w:sz w:val="28"/>
          <w:szCs w:val="28"/>
        </w:rPr>
        <w:fldChar w:fldCharType="end"/>
      </w:r>
    </w:p>
    <w:p>
      <w:pPr>
        <w:pStyle w:val="11"/>
      </w:pPr>
      <w:r>
        <w:fldChar w:fldCharType="begin"/>
      </w:r>
      <w:r>
        <w:instrText xml:space="preserve"> HYPERLINK \l "_Toc15396617" </w:instrText>
      </w:r>
      <w:r>
        <w:fldChar w:fldCharType="separate"/>
      </w:r>
      <w:r>
        <w:rPr>
          <w:rStyle w:val="15"/>
          <w:rFonts w:hint="eastAsia" w:ascii="仿宋" w:hAnsi="仿宋" w:eastAsia="仿宋"/>
          <w:kern w:val="44"/>
          <w:sz w:val="28"/>
          <w:szCs w:val="28"/>
        </w:rPr>
        <w:t>附件</w:t>
      </w:r>
      <w:r>
        <w:rPr>
          <w:rStyle w:val="15"/>
          <w:rFonts w:hint="eastAsia" w:ascii="仿宋" w:hAnsi="仿宋" w:eastAsia="仿宋"/>
          <w:kern w:val="44"/>
          <w:sz w:val="28"/>
          <w:szCs w:val="28"/>
          <w:lang w:val="en-US" w:eastAsia="zh-CN"/>
        </w:rPr>
        <w:t>3</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6</w:t>
      </w:r>
      <w:r>
        <w:rPr>
          <w:rFonts w:ascii="仿宋" w:hAnsi="仿宋" w:eastAsia="仿宋"/>
          <w:sz w:val="28"/>
          <w:szCs w:val="28"/>
        </w:rPr>
        <w:fldChar w:fldCharType="end"/>
      </w:r>
      <w:r>
        <w:rPr>
          <w:rFonts w:ascii="仿宋" w:hAnsi="仿宋" w:eastAsia="仿宋"/>
          <w:sz w:val="28"/>
          <w:szCs w:val="28"/>
        </w:rPr>
        <w:fldChar w:fldCharType="end"/>
      </w:r>
    </w:p>
    <w:p>
      <w:pPr>
        <w:pStyle w:val="10"/>
        <w:rPr>
          <w:rFonts w:hint="eastAsia" w:eastAsia="仿宋" w:cstheme="minorBidi"/>
          <w:lang w:val="en-US" w:eastAsia="zh-CN"/>
        </w:rPr>
      </w:pPr>
      <w:r>
        <w:fldChar w:fldCharType="begin"/>
      </w:r>
      <w:r>
        <w:instrText xml:space="preserve"> HYPERLINK \l "_Toc15396618" </w:instrText>
      </w:r>
      <w:r>
        <w:fldChar w:fldCharType="separate"/>
      </w:r>
      <w:r>
        <w:rPr>
          <w:rStyle w:val="15"/>
          <w:rFonts w:hint="eastAsia"/>
        </w:rPr>
        <w:t>第</w:t>
      </w:r>
      <w:r>
        <w:rPr>
          <w:rStyle w:val="15"/>
          <w:rFonts w:hint="eastAsia"/>
          <w:bCs/>
          <w:kern w:val="44"/>
        </w:rPr>
        <w:t>五部分附表</w:t>
      </w:r>
      <w:r>
        <w:tab/>
      </w:r>
      <w:r>
        <w:rPr>
          <w:rFonts w:hint="eastAsia"/>
          <w:lang w:val="en-US" w:eastAsia="zh-CN"/>
        </w:rPr>
        <w:t>3</w:t>
      </w:r>
      <w:r>
        <w:fldChar w:fldCharType="end"/>
      </w:r>
      <w:r>
        <w:rPr>
          <w:rFonts w:hint="eastAsia"/>
          <w:lang w:val="en-US" w:eastAsia="zh-CN"/>
        </w:rPr>
        <w:t>0</w:t>
      </w:r>
      <w:bookmarkStart w:id="80" w:name="_GoBack"/>
      <w:bookmarkEnd w:id="80"/>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5"/>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5"/>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5"/>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5"/>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5"/>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5"/>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5"/>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5"/>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5"/>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5"/>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5"/>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5"/>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30</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77196"/>
      <w:bookmarkStart w:id="13" w:name="_Toc15396599"/>
      <w:r>
        <w:rPr>
          <w:rFonts w:ascii="黑体" w:hAnsi="黑体" w:eastAsia="黑体"/>
          <w:b/>
        </w:rPr>
        <w:br w:type="page"/>
      </w:r>
    </w:p>
    <w:p>
      <w:pPr>
        <w:pStyle w:val="2"/>
        <w:jc w:val="center"/>
        <w:rPr>
          <w:rStyle w:val="24"/>
          <w:rFonts w:ascii="黑体" w:hAnsi="黑体" w:eastAsia="黑体"/>
          <w:b/>
          <w:bCs w:val="0"/>
        </w:rPr>
      </w:pPr>
      <w:r>
        <w:rPr>
          <w:rFonts w:hint="eastAsia" w:ascii="黑体" w:hAnsi="黑体" w:eastAsia="黑体"/>
          <w:b w:val="0"/>
        </w:rPr>
        <w:t xml:space="preserve">第一部分 </w:t>
      </w:r>
      <w:r>
        <w:rPr>
          <w:rStyle w:val="24"/>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2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5"/>
          <w:rFonts w:hint="eastAsia" w:ascii="黑体" w:hAnsi="黑体" w:eastAsia="黑体"/>
          <w:b w:val="0"/>
          <w:bCs w:val="0"/>
        </w:rPr>
        <w:t>本职能及主要工作</w:t>
      </w:r>
      <w:bookmarkEnd w:id="14"/>
      <w:bookmarkEnd w:id="15"/>
    </w:p>
    <w:p>
      <w:pPr>
        <w:spacing w:line="580" w:lineRule="exact"/>
        <w:ind w:firstLine="645"/>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bookmarkEnd w:id="16"/>
      <w:bookmarkEnd w:id="17"/>
      <w:bookmarkStart w:id="18" w:name="_Toc15377199"/>
      <w:bookmarkStart w:id="19" w:name="_Toc15378446"/>
    </w:p>
    <w:p>
      <w:pPr>
        <w:spacing w:line="560" w:lineRule="exact"/>
        <w:ind w:firstLine="640" w:firstLineChars="200"/>
        <w:rPr>
          <w:rFonts w:ascii="仿宋" w:hAnsi="仿宋" w:eastAsia="仿宋"/>
          <w:bCs/>
          <w:color w:val="000000"/>
          <w:sz w:val="32"/>
          <w:szCs w:val="32"/>
        </w:rPr>
      </w:pPr>
      <w:r>
        <w:rPr>
          <w:rFonts w:eastAsia="仿宋_GB2312"/>
          <w:color w:val="000000"/>
          <w:kern w:val="0"/>
          <w:sz w:val="32"/>
          <w:szCs w:val="32"/>
        </w:rPr>
        <w:t>中共攀枝花市仁和区纪委和攀枝花市仁和区监</w:t>
      </w:r>
      <w:r>
        <w:rPr>
          <w:rFonts w:hint="eastAsia" w:eastAsia="仿宋_GB2312"/>
          <w:color w:val="000000"/>
          <w:kern w:val="0"/>
          <w:sz w:val="32"/>
          <w:szCs w:val="32"/>
        </w:rPr>
        <w:t>委</w:t>
      </w:r>
      <w:r>
        <w:rPr>
          <w:rFonts w:eastAsia="仿宋_GB2312"/>
          <w:color w:val="000000"/>
          <w:kern w:val="0"/>
          <w:sz w:val="32"/>
          <w:szCs w:val="32"/>
        </w:rPr>
        <w:t>合署办公，履行党的纪律检查和政府监察职能，主管全区党的纪律检查和公职人员监督监察工作。</w:t>
      </w:r>
    </w:p>
    <w:p>
      <w:pPr>
        <w:spacing w:line="576" w:lineRule="exact"/>
        <w:ind w:firstLine="640" w:firstLineChars="200"/>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bookmarkStart w:id="20" w:name="_Toc15377200"/>
      <w:bookmarkStart w:id="21" w:name="_Toc15396601"/>
    </w:p>
    <w:p>
      <w:pPr>
        <w:spacing w:line="576" w:lineRule="exact"/>
        <w:ind w:firstLine="643" w:firstLineChars="200"/>
        <w:rPr>
          <w:rFonts w:eastAsia="仿宋_GB2312"/>
          <w:color w:val="000000"/>
          <w:kern w:val="0"/>
          <w:sz w:val="32"/>
          <w:szCs w:val="32"/>
        </w:rPr>
      </w:pPr>
      <w:r>
        <w:rPr>
          <w:rFonts w:hint="eastAsia" w:eastAsia="仿宋_GB2312"/>
          <w:b/>
          <w:bCs/>
          <w:color w:val="000000"/>
          <w:kern w:val="0"/>
          <w:sz w:val="32"/>
          <w:szCs w:val="32"/>
        </w:rPr>
        <w:t>1.加强统筹协调，稳步推进体制改革。</w:t>
      </w:r>
      <w:r>
        <w:rPr>
          <w:rFonts w:hint="eastAsia" w:eastAsia="仿宋_GB2312"/>
          <w:color w:val="000000"/>
          <w:kern w:val="0"/>
          <w:sz w:val="32"/>
          <w:szCs w:val="32"/>
        </w:rPr>
        <w:t>一是深化监察体制改革。</w:t>
      </w:r>
      <w:r>
        <w:rPr>
          <w:rFonts w:eastAsia="仿宋_GB2312"/>
          <w:color w:val="000000"/>
          <w:kern w:val="0"/>
          <w:sz w:val="32"/>
          <w:szCs w:val="32"/>
        </w:rPr>
        <w:t>年初完成区监委组建挂牌</w:t>
      </w:r>
      <w:r>
        <w:rPr>
          <w:rFonts w:hint="eastAsia" w:eastAsia="仿宋_GB2312"/>
          <w:color w:val="000000"/>
          <w:kern w:val="0"/>
          <w:sz w:val="32"/>
          <w:szCs w:val="32"/>
        </w:rPr>
        <w:t>，</w:t>
      </w:r>
      <w:r>
        <w:rPr>
          <w:rFonts w:eastAsia="仿宋_GB2312"/>
          <w:color w:val="000000"/>
          <w:kern w:val="0"/>
          <w:sz w:val="32"/>
          <w:szCs w:val="32"/>
        </w:rPr>
        <w:t>实现对行使公权力的公职人员监督监察全覆盖。共立案10件，政务处分4人，涉嫌职务犯罪2件2人。二是完成派驻改革试点。设置综合派驻机构9个，监督56个部门（单位），实现派驻监督全覆盖。共约谈12人，谈话函询16人，立案3件，政务处分1人。三是监察职能向基层延伸。分别向14个乡镇派出监察办公室，向1个街道派出监察专员</w:t>
      </w:r>
      <w:r>
        <w:rPr>
          <w:rFonts w:hint="eastAsia" w:eastAsia="仿宋_GB2312"/>
          <w:color w:val="000000"/>
          <w:kern w:val="0"/>
          <w:sz w:val="32"/>
          <w:szCs w:val="32"/>
        </w:rPr>
        <w:t>，91个村（居）设监察信息员</w:t>
      </w:r>
      <w:r>
        <w:rPr>
          <w:rFonts w:eastAsia="仿宋_GB2312"/>
          <w:color w:val="000000"/>
          <w:kern w:val="0"/>
          <w:sz w:val="32"/>
          <w:szCs w:val="32"/>
        </w:rPr>
        <w:t>。</w:t>
      </w:r>
    </w:p>
    <w:p>
      <w:pPr>
        <w:spacing w:line="576" w:lineRule="exact"/>
        <w:ind w:firstLine="630" w:firstLineChars="196"/>
        <w:rPr>
          <w:rFonts w:eastAsia="仿宋_GB2312"/>
          <w:color w:val="000000"/>
          <w:kern w:val="0"/>
          <w:sz w:val="32"/>
          <w:szCs w:val="32"/>
        </w:rPr>
      </w:pPr>
      <w:r>
        <w:rPr>
          <w:rFonts w:hint="eastAsia" w:eastAsia="仿宋_GB2312"/>
          <w:b/>
          <w:bCs/>
          <w:color w:val="000000"/>
          <w:kern w:val="0"/>
          <w:sz w:val="32"/>
          <w:szCs w:val="32"/>
        </w:rPr>
        <w:t>2.强化压力传导，压紧压实“两个责任”。</w:t>
      </w:r>
      <w:r>
        <w:rPr>
          <w:rFonts w:eastAsia="仿宋_GB2312"/>
          <w:color w:val="000000"/>
          <w:kern w:val="0"/>
          <w:sz w:val="32"/>
          <w:szCs w:val="32"/>
        </w:rPr>
        <w:t>一是以责任清单带动责任落实。“清单制+责任制”确定7大项44小项主体责任和6大项35小项监督责任，层层签订党风廉政建设责任书2500余份。二是以工作机制推动责任落实。三是以督责问责促进工作落实。</w:t>
      </w:r>
    </w:p>
    <w:p>
      <w:pPr>
        <w:spacing w:line="576" w:lineRule="exact"/>
        <w:ind w:firstLine="630" w:firstLineChars="196"/>
        <w:rPr>
          <w:rFonts w:eastAsia="仿宋_GB2312"/>
          <w:color w:val="000000"/>
          <w:kern w:val="0"/>
          <w:sz w:val="32"/>
          <w:szCs w:val="32"/>
        </w:rPr>
      </w:pPr>
      <w:r>
        <w:rPr>
          <w:rFonts w:hint="eastAsia" w:eastAsia="仿宋_GB2312"/>
          <w:b/>
          <w:bCs/>
          <w:color w:val="000000"/>
          <w:kern w:val="0"/>
          <w:sz w:val="32"/>
          <w:szCs w:val="32"/>
        </w:rPr>
        <w:t>3.创新监督方式，持续深化正风肃纪。</w:t>
      </w:r>
      <w:r>
        <w:rPr>
          <w:rFonts w:hint="eastAsia" w:eastAsia="仿宋_GB2312"/>
          <w:color w:val="000000"/>
          <w:kern w:val="0"/>
          <w:sz w:val="32"/>
          <w:szCs w:val="32"/>
        </w:rPr>
        <w:t>一是聚焦“关键少数”，推行“两个负面清单”。</w:t>
      </w:r>
      <w:r>
        <w:rPr>
          <w:rFonts w:eastAsia="仿宋_GB2312"/>
          <w:color w:val="000000"/>
          <w:kern w:val="0"/>
          <w:sz w:val="32"/>
          <w:szCs w:val="32"/>
        </w:rPr>
        <w:t>制定《</w:t>
      </w:r>
      <w:r>
        <w:rPr>
          <w:rFonts w:hint="eastAsia" w:eastAsia="仿宋_GB2312"/>
          <w:color w:val="000000"/>
          <w:kern w:val="0"/>
          <w:sz w:val="32"/>
          <w:szCs w:val="32"/>
        </w:rPr>
        <w:t>攀枝花市仁和区2018年党员干部党内政治生活负面清单》《攀枝花市仁和区 2018 年党员干部精神状态负面清单》</w:t>
      </w:r>
      <w:r>
        <w:rPr>
          <w:rFonts w:eastAsia="仿宋_GB2312"/>
          <w:color w:val="000000"/>
          <w:kern w:val="0"/>
          <w:sz w:val="32"/>
          <w:szCs w:val="32"/>
        </w:rPr>
        <w:t>，规范党内政治生活各项制度执行情况和党员干部</w:t>
      </w:r>
      <w:r>
        <w:rPr>
          <w:rFonts w:hint="eastAsia" w:eastAsia="仿宋_GB2312"/>
          <w:color w:val="000000"/>
          <w:kern w:val="0"/>
          <w:sz w:val="32"/>
          <w:szCs w:val="32"/>
        </w:rPr>
        <w:t>工作精神状态</w:t>
      </w:r>
      <w:r>
        <w:rPr>
          <w:rFonts w:eastAsia="仿宋_GB2312"/>
          <w:color w:val="000000"/>
          <w:kern w:val="0"/>
          <w:sz w:val="32"/>
          <w:szCs w:val="32"/>
        </w:rPr>
        <w:t>。二是聚焦关键节点，加强日常监督。三是聚焦风险防控，搭建监督平台。完成廉政风险防控系统平台系统框架搭建，前期试运行5家单位。初步建立了全区副科级以上干部及单位廉政档案469个，开通了“阳光政务-政风行风广播热线”。四是聚焦突出问题，精准从严</w:t>
      </w:r>
      <w:r>
        <w:rPr>
          <w:rFonts w:hint="eastAsia" w:eastAsia="仿宋_GB2312"/>
          <w:color w:val="000000"/>
          <w:kern w:val="0"/>
          <w:sz w:val="32"/>
          <w:szCs w:val="32"/>
        </w:rPr>
        <w:t>监督</w:t>
      </w:r>
      <w:r>
        <w:rPr>
          <w:rFonts w:eastAsia="仿宋_GB2312"/>
          <w:color w:val="000000"/>
          <w:kern w:val="0"/>
          <w:sz w:val="32"/>
          <w:szCs w:val="32"/>
        </w:rPr>
        <w:t>。紧盯隐形变异“四风”问题新动向，开展公务车加油卡管理、私车公养、违规购买消费高档白酒等专项检查10余次，纪检通报1</w:t>
      </w:r>
      <w:r>
        <w:rPr>
          <w:rFonts w:hint="eastAsia" w:eastAsia="仿宋_GB2312"/>
          <w:color w:val="000000"/>
          <w:kern w:val="0"/>
          <w:sz w:val="32"/>
          <w:szCs w:val="32"/>
        </w:rPr>
        <w:t>3</w:t>
      </w:r>
      <w:r>
        <w:rPr>
          <w:rFonts w:eastAsia="仿宋_GB2312"/>
          <w:color w:val="000000"/>
          <w:kern w:val="0"/>
          <w:sz w:val="32"/>
          <w:szCs w:val="32"/>
        </w:rPr>
        <w:t>期，函询、警示谈话提醒、约谈领导干部5人，发出纪律检查建议书13份、监察建议书2份，督导整改省级党风廉政建设社会评价反馈问题18个。</w:t>
      </w:r>
    </w:p>
    <w:p>
      <w:pPr>
        <w:spacing w:line="576" w:lineRule="exact"/>
        <w:ind w:firstLine="630" w:firstLineChars="196"/>
        <w:rPr>
          <w:rFonts w:eastAsia="仿宋_GB2312"/>
          <w:color w:val="000000"/>
          <w:kern w:val="0"/>
          <w:sz w:val="32"/>
          <w:szCs w:val="32"/>
        </w:rPr>
      </w:pPr>
      <w:r>
        <w:rPr>
          <w:rFonts w:hint="eastAsia" w:eastAsia="仿宋_GB2312"/>
          <w:b/>
          <w:bCs/>
          <w:color w:val="000000"/>
          <w:kern w:val="0"/>
          <w:sz w:val="32"/>
          <w:szCs w:val="32"/>
        </w:rPr>
        <w:t>4.开展专项整治，服务全区中心大局。</w:t>
      </w:r>
      <w:r>
        <w:rPr>
          <w:rFonts w:eastAsia="仿宋_GB2312"/>
          <w:color w:val="000000"/>
          <w:kern w:val="0"/>
          <w:sz w:val="32"/>
          <w:szCs w:val="32"/>
        </w:rPr>
        <w:t>对扶贫攻坚、“四风”和“微腐败”、扫黑除恶、环境保护和资源开发、政府财政投资项目、领导干部违规经商办企业等六大领域问题整治的监督检查17次，发现问题161个，督促整改149个。脱贫攻坚全覆盖监督检查2轮，查处问题68个；通过“阳光问廉”直播，曝光问题8个，立案2件，处理责任人员2人。立案查办群众身边“微腐败”案件30件，结案23件，处理23人。立案查办农村基层党员干部涉乱案件6件、公职人员涉黑案件7件7人。“一卡通”专项清理，发现问题线索8个，立案6件，处理5人。</w:t>
      </w:r>
    </w:p>
    <w:p>
      <w:pPr>
        <w:spacing w:line="576" w:lineRule="exact"/>
        <w:ind w:firstLine="630" w:firstLineChars="196"/>
        <w:rPr>
          <w:rFonts w:eastAsia="仿宋_GB2312"/>
          <w:color w:val="000000"/>
          <w:kern w:val="0"/>
          <w:sz w:val="32"/>
          <w:szCs w:val="32"/>
        </w:rPr>
      </w:pPr>
      <w:r>
        <w:rPr>
          <w:rFonts w:hint="eastAsia" w:eastAsia="仿宋_GB2312"/>
          <w:b/>
          <w:bCs/>
          <w:color w:val="000000"/>
          <w:kern w:val="0"/>
          <w:sz w:val="32"/>
          <w:szCs w:val="32"/>
        </w:rPr>
        <w:t>5.</w:t>
      </w:r>
      <w:r>
        <w:rPr>
          <w:rFonts w:eastAsia="仿宋_GB2312"/>
          <w:b/>
          <w:bCs/>
          <w:color w:val="000000"/>
          <w:kern w:val="0"/>
          <w:sz w:val="32"/>
          <w:szCs w:val="32"/>
        </w:rPr>
        <w:t>发挥利剑作用，不断深化政治巡察。</w:t>
      </w:r>
      <w:r>
        <w:rPr>
          <w:rFonts w:eastAsia="仿宋_GB2312"/>
          <w:color w:val="000000"/>
          <w:kern w:val="0"/>
          <w:sz w:val="32"/>
          <w:szCs w:val="32"/>
        </w:rPr>
        <w:t>建立完善以《仁和区巡察工作实施细则》为总纲，涉及内部运行、人员管理、工作程序、工作纪律四个方面16个具体办法为支撑的制度体系。已开展6轮巡察，完成全覆盖任务的35.7%，巡察党组织25个，延伸巡察60个村、14个社区，扶贫领域专项巡察12个区属部门。前五轮发现各类问题255个，已整改208个，整改率81.6%。移交问题线索45条，立案18件，党政纪处分15人，避免和挽回经济损失238.8万元。</w:t>
      </w:r>
    </w:p>
    <w:p>
      <w:pPr>
        <w:spacing w:line="576" w:lineRule="exact"/>
        <w:ind w:firstLine="630" w:firstLineChars="196"/>
        <w:rPr>
          <w:rFonts w:eastAsia="仿宋_GB2312"/>
          <w:color w:val="000000"/>
          <w:kern w:val="0"/>
          <w:sz w:val="32"/>
          <w:szCs w:val="32"/>
        </w:rPr>
      </w:pPr>
      <w:r>
        <w:rPr>
          <w:rFonts w:hint="eastAsia" w:eastAsia="仿宋_GB2312"/>
          <w:b/>
          <w:bCs/>
          <w:color w:val="000000"/>
          <w:kern w:val="0"/>
          <w:sz w:val="32"/>
          <w:szCs w:val="32"/>
        </w:rPr>
        <w:t>6.</w:t>
      </w:r>
      <w:r>
        <w:rPr>
          <w:rFonts w:eastAsia="仿宋_GB2312"/>
          <w:b/>
          <w:bCs/>
          <w:color w:val="000000"/>
          <w:kern w:val="0"/>
          <w:sz w:val="32"/>
          <w:szCs w:val="32"/>
        </w:rPr>
        <w:t>坚持问题导向，抓紧抓实巡视整改。</w:t>
      </w:r>
      <w:r>
        <w:rPr>
          <w:rFonts w:eastAsia="仿宋_GB2312"/>
          <w:color w:val="000000"/>
          <w:kern w:val="0"/>
          <w:sz w:val="32"/>
          <w:szCs w:val="32"/>
        </w:rPr>
        <w:t>主动认领省委巡视反馈的五个方面10个问题，提出整改措施33条、任务明细53项，已整改完成50项。核查巡视反馈意见中涉及的领导干部问题13个，督办整改工作4项，约谈推动整改工作滞缓的单位主要负责人9人。省委巡视组转办的信访件33件、线索1件，已办结29件、正在核查5件，已立案查处8人，给予谈话提醒、约谈、诫勉等组织处理9人。</w:t>
      </w:r>
    </w:p>
    <w:p>
      <w:pPr>
        <w:spacing w:line="576" w:lineRule="exact"/>
        <w:ind w:firstLine="643" w:firstLineChars="200"/>
        <w:rPr>
          <w:rFonts w:eastAsia="仿宋_GB2312"/>
          <w:color w:val="000000"/>
          <w:kern w:val="0"/>
          <w:sz w:val="32"/>
          <w:szCs w:val="32"/>
        </w:rPr>
      </w:pPr>
      <w:r>
        <w:rPr>
          <w:rFonts w:hint="eastAsia" w:eastAsia="仿宋_GB2312"/>
          <w:b/>
          <w:bCs/>
          <w:color w:val="000000"/>
          <w:kern w:val="0"/>
          <w:sz w:val="32"/>
          <w:szCs w:val="32"/>
        </w:rPr>
        <w:t>7.</w:t>
      </w:r>
      <w:r>
        <w:rPr>
          <w:rFonts w:eastAsia="仿宋_GB2312"/>
          <w:b/>
          <w:bCs/>
          <w:color w:val="000000"/>
          <w:kern w:val="0"/>
          <w:sz w:val="32"/>
          <w:szCs w:val="32"/>
        </w:rPr>
        <w:t>加大执纪审查</w:t>
      </w:r>
      <w:r>
        <w:rPr>
          <w:rFonts w:hint="eastAsia" w:eastAsia="仿宋_GB2312"/>
          <w:b/>
          <w:bCs/>
          <w:color w:val="000000"/>
          <w:kern w:val="0"/>
          <w:sz w:val="32"/>
          <w:szCs w:val="32"/>
        </w:rPr>
        <w:t>和监察调查</w:t>
      </w:r>
      <w:r>
        <w:rPr>
          <w:rFonts w:eastAsia="仿宋_GB2312"/>
          <w:b/>
          <w:bCs/>
          <w:color w:val="000000"/>
          <w:kern w:val="0"/>
          <w:sz w:val="32"/>
          <w:szCs w:val="32"/>
        </w:rPr>
        <w:t>，保持反腐高压态势。</w:t>
      </w:r>
      <w:r>
        <w:rPr>
          <w:rFonts w:eastAsia="仿宋_GB2312"/>
          <w:color w:val="000000"/>
          <w:kern w:val="0"/>
          <w:sz w:val="32"/>
          <w:szCs w:val="32"/>
        </w:rPr>
        <w:t>共收到信访举报103件，比去年增加18件，上升21%。立案审查调查各类违纪违法和职务犯罪案件75件75人，其中违纪案件56件56人、职务违法案件16件16人、职务犯罪案件3件3人。查处违纪违法案件较去年增加18件18人，增长32%。其中区纪委监察立案查办29件29人，乡镇纪委立案查办39件39人，街道纪工委立案查办2件2人，派驻纪检组查办2件2人。违纪人员中科级领导干部10人，机关普通党员干部16人，农村（社区）基层干部35人，农村基层普通党员7人，企业党员和监察对象4人。严肃查办发生在群众身边的不正之风和腐败案件59件59人（其中违反中央八项规定精神问题20件20人），占查办案件数的79%。通过执纪审查为国家、集体挽回经济损失310万元。</w:t>
      </w:r>
    </w:p>
    <w:p>
      <w:pPr>
        <w:spacing w:line="576" w:lineRule="exact"/>
        <w:ind w:firstLine="630" w:firstLineChars="196"/>
        <w:rPr>
          <w:rFonts w:eastAsia="仿宋_GB2312"/>
          <w:color w:val="000000"/>
          <w:kern w:val="0"/>
          <w:sz w:val="32"/>
          <w:szCs w:val="32"/>
        </w:rPr>
      </w:pPr>
      <w:r>
        <w:rPr>
          <w:rFonts w:hint="eastAsia" w:eastAsia="仿宋_GB2312"/>
          <w:b/>
          <w:bCs/>
          <w:color w:val="000000"/>
          <w:kern w:val="0"/>
          <w:sz w:val="32"/>
          <w:szCs w:val="32"/>
        </w:rPr>
        <w:t>8.</w:t>
      </w:r>
      <w:r>
        <w:rPr>
          <w:rFonts w:eastAsia="仿宋_GB2312"/>
          <w:b/>
          <w:bCs/>
          <w:color w:val="000000"/>
          <w:kern w:val="0"/>
          <w:sz w:val="32"/>
          <w:szCs w:val="32"/>
        </w:rPr>
        <w:t>强化党纪</w:t>
      </w:r>
      <w:r>
        <w:rPr>
          <w:rFonts w:hint="eastAsia" w:eastAsia="仿宋_GB2312"/>
          <w:b/>
          <w:bCs/>
          <w:color w:val="000000"/>
          <w:kern w:val="0"/>
          <w:sz w:val="32"/>
          <w:szCs w:val="32"/>
        </w:rPr>
        <w:t>法纪</w:t>
      </w:r>
      <w:r>
        <w:rPr>
          <w:rFonts w:eastAsia="仿宋_GB2312"/>
          <w:b/>
          <w:bCs/>
          <w:color w:val="000000"/>
          <w:kern w:val="0"/>
          <w:sz w:val="32"/>
          <w:szCs w:val="32"/>
        </w:rPr>
        <w:t>教育，营造</w:t>
      </w:r>
      <w:r>
        <w:rPr>
          <w:rFonts w:hint="eastAsia" w:eastAsia="仿宋_GB2312"/>
          <w:b/>
          <w:bCs/>
          <w:color w:val="000000"/>
          <w:kern w:val="0"/>
          <w:sz w:val="32"/>
          <w:szCs w:val="32"/>
        </w:rPr>
        <w:t>倡廉助廉浓厚</w:t>
      </w:r>
      <w:r>
        <w:rPr>
          <w:rFonts w:eastAsia="仿宋_GB2312"/>
          <w:b/>
          <w:bCs/>
          <w:color w:val="000000"/>
          <w:kern w:val="0"/>
          <w:sz w:val="32"/>
          <w:szCs w:val="32"/>
        </w:rPr>
        <w:t>氛围。</w:t>
      </w:r>
      <w:r>
        <w:rPr>
          <w:rFonts w:eastAsia="仿宋_GB2312"/>
          <w:color w:val="000000"/>
          <w:kern w:val="0"/>
          <w:sz w:val="32"/>
          <w:szCs w:val="32"/>
        </w:rPr>
        <w:t>一是多渠道加大宣传力度。打造省级廉政文化教育示范基地，建设廉洁、法治、传统文化主题公园，发挥廉政文化的辐射引领作用。利用手机报平台推送“廉洁仁和”信息周刊46期，发放廉洁短信18万余条，评选“清风仁和·廉洁家庭”1010户。全覆盖宣讲社会评价175次，走访群众10000余户，收集问题259件，涉及工作作风26件，惠民“1+6”方面202件。二是多举措强化警示教育。制作本地题材教育警示片、党风廉政建设社会评价宣传教育片和以苴却砚为主题的微视频共3部，开展《预防职务违法犯罪》《监察法》</w:t>
      </w:r>
      <w:r>
        <w:rPr>
          <w:rFonts w:hint="eastAsia" w:eastAsia="仿宋_GB2312"/>
          <w:color w:val="000000"/>
          <w:kern w:val="0"/>
          <w:sz w:val="32"/>
          <w:szCs w:val="32"/>
        </w:rPr>
        <w:t>《中国共产党纪律处分条例》</w:t>
      </w:r>
      <w:r>
        <w:rPr>
          <w:rFonts w:eastAsia="仿宋_GB2312"/>
          <w:color w:val="000000"/>
          <w:kern w:val="0"/>
          <w:sz w:val="32"/>
          <w:szCs w:val="32"/>
        </w:rPr>
        <w:t>宣讲</w:t>
      </w:r>
      <w:r>
        <w:rPr>
          <w:rFonts w:hint="eastAsia" w:eastAsia="仿宋_GB2312"/>
          <w:color w:val="000000"/>
          <w:kern w:val="0"/>
          <w:sz w:val="32"/>
          <w:szCs w:val="32"/>
        </w:rPr>
        <w:t>21</w:t>
      </w:r>
      <w:r>
        <w:rPr>
          <w:rFonts w:eastAsia="仿宋_GB2312"/>
          <w:color w:val="000000"/>
          <w:kern w:val="0"/>
          <w:sz w:val="32"/>
          <w:szCs w:val="32"/>
        </w:rPr>
        <w:t>场次，通报典型案例18件18人，案件回访教育19次。</w:t>
      </w:r>
    </w:p>
    <w:p>
      <w:pPr>
        <w:pStyle w:val="5"/>
        <w:numPr>
          <w:ilvl w:val="0"/>
          <w:numId w:val="1"/>
        </w:numPr>
        <w:adjustRightInd w:val="0"/>
        <w:snapToGrid w:val="0"/>
        <w:spacing w:before="93" w:line="600" w:lineRule="exact"/>
        <w:outlineLvl w:val="2"/>
        <w:rPr>
          <w:rStyle w:val="25"/>
        </w:rPr>
      </w:pPr>
      <w:r>
        <w:rPr>
          <w:rFonts w:hint="eastAsia" w:ascii="黑体" w:hAnsi="黑体" w:eastAsia="黑体"/>
          <w:color w:val="000000"/>
        </w:rPr>
        <w:t>机</w:t>
      </w:r>
      <w:r>
        <w:rPr>
          <w:rStyle w:val="25"/>
          <w:rFonts w:hint="eastAsia" w:ascii="黑体" w:hAnsi="黑体" w:eastAsia="黑体"/>
        </w:rPr>
        <w:t>构设置</w:t>
      </w:r>
      <w:bookmarkEnd w:id="20"/>
      <w:bookmarkEnd w:id="21"/>
    </w:p>
    <w:p>
      <w:pPr>
        <w:pStyle w:val="5"/>
        <w:adjustRightInd w:val="0"/>
        <w:snapToGrid w:val="0"/>
        <w:spacing w:beforeLines="0" w:line="560" w:lineRule="exact"/>
        <w:ind w:left="320" w:firstLine="640" w:firstLineChars="200"/>
        <w:rPr>
          <w:rFonts w:ascii="Times New Roman"/>
          <w:sz w:val="32"/>
          <w:szCs w:val="32"/>
        </w:rPr>
      </w:pPr>
      <w:bookmarkStart w:id="22" w:name="_Toc15377203"/>
      <w:bookmarkStart w:id="23" w:name="_Toc15306277"/>
      <w:bookmarkStart w:id="24" w:name="_Toc15378450"/>
      <w:bookmarkStart w:id="25" w:name="_Toc15377434"/>
      <w:r>
        <w:rPr>
          <w:rFonts w:ascii="Times New Roman"/>
          <w:sz w:val="32"/>
          <w:szCs w:val="32"/>
        </w:rPr>
        <w:t>中共攀枝花市仁和区纪委和攀枝花市仁和区监</w:t>
      </w:r>
      <w:r>
        <w:rPr>
          <w:rFonts w:hint="eastAsia" w:ascii="Times New Roman"/>
          <w:sz w:val="32"/>
          <w:szCs w:val="32"/>
        </w:rPr>
        <w:t>委</w:t>
      </w:r>
      <w:r>
        <w:rPr>
          <w:rFonts w:ascii="Times New Roman"/>
          <w:sz w:val="32"/>
          <w:szCs w:val="32"/>
        </w:rPr>
        <w:t>合署办公，下属事业单位一个，为攀枝花市仁和区纪检监察教育培训和信息中心，未独立决算。</w:t>
      </w:r>
    </w:p>
    <w:p>
      <w:pPr>
        <w:pStyle w:val="5"/>
        <w:adjustRightInd w:val="0"/>
        <w:snapToGrid w:val="0"/>
        <w:spacing w:beforeLines="0" w:line="560" w:lineRule="exact"/>
        <w:ind w:left="320" w:firstLine="640" w:firstLineChars="200"/>
        <w:rPr>
          <w:rFonts w:ascii="Times New Roman"/>
          <w:sz w:val="32"/>
          <w:szCs w:val="32"/>
        </w:rPr>
      </w:pPr>
    </w:p>
    <w:p>
      <w:pPr>
        <w:pStyle w:val="5"/>
        <w:adjustRightInd w:val="0"/>
        <w:snapToGrid w:val="0"/>
        <w:spacing w:beforeLines="0" w:line="560" w:lineRule="exact"/>
        <w:ind w:left="320" w:firstLine="640" w:firstLineChars="200"/>
        <w:rPr>
          <w:rFonts w:ascii="Times New Roman"/>
          <w:color w:val="000000"/>
          <w:sz w:val="32"/>
          <w:szCs w:val="32"/>
        </w:rPr>
      </w:pPr>
    </w:p>
    <w:p>
      <w:pPr>
        <w:pStyle w:val="5"/>
        <w:adjustRightInd w:val="0"/>
        <w:snapToGrid w:val="0"/>
        <w:spacing w:beforeLines="0" w:line="560" w:lineRule="exact"/>
        <w:ind w:left="320" w:firstLine="640" w:firstLineChars="200"/>
        <w:rPr>
          <w:rFonts w:ascii="Times New Roman"/>
          <w:color w:val="000000"/>
          <w:sz w:val="32"/>
          <w:szCs w:val="32"/>
        </w:rPr>
      </w:pPr>
    </w:p>
    <w:bookmarkEnd w:id="22"/>
    <w:bookmarkEnd w:id="23"/>
    <w:bookmarkEnd w:id="24"/>
    <w:bookmarkEnd w:id="25"/>
    <w:p>
      <w:pPr>
        <w:pStyle w:val="2"/>
        <w:ind w:right="440"/>
        <w:jc w:val="right"/>
        <w:rPr>
          <w:rStyle w:val="24"/>
          <w:rFonts w:ascii="黑体" w:hAnsi="黑体" w:eastAsia="黑体"/>
          <w:b w:val="0"/>
          <w:bCs w:val="0"/>
        </w:rPr>
      </w:pPr>
      <w:bookmarkStart w:id="26" w:name="_Toc15377204"/>
      <w:bookmarkStart w:id="27" w:name="_Toc15396602"/>
      <w:r>
        <w:rPr>
          <w:rFonts w:hint="eastAsia" w:ascii="黑体" w:hAnsi="黑体" w:eastAsia="黑体"/>
          <w:b w:val="0"/>
          <w:color w:val="000000"/>
        </w:rPr>
        <w:t>第二部分</w:t>
      </w:r>
      <w:r>
        <w:rPr>
          <w:rStyle w:val="24"/>
          <w:rFonts w:hint="eastAsia" w:ascii="黑体" w:hAnsi="黑体" w:eastAsia="黑体"/>
          <w:b w:val="0"/>
          <w:bCs w:val="0"/>
        </w:rPr>
        <w:t>2018年度部门决算情况说明</w:t>
      </w:r>
      <w:bookmarkEnd w:id="26"/>
      <w:bookmarkEnd w:id="27"/>
    </w:p>
    <w:p/>
    <w:p>
      <w:pPr>
        <w:pStyle w:val="23"/>
        <w:numPr>
          <w:ilvl w:val="0"/>
          <w:numId w:val="2"/>
        </w:numPr>
        <w:spacing w:line="600" w:lineRule="exact"/>
        <w:ind w:firstLineChars="0"/>
        <w:outlineLvl w:val="1"/>
        <w:rPr>
          <w:rStyle w:val="25"/>
          <w:rFonts w:ascii="黑体" w:hAnsi="黑体" w:eastAsia="黑体"/>
          <w:b w:val="0"/>
        </w:rPr>
      </w:pPr>
      <w:bookmarkStart w:id="28" w:name="_Toc15396603"/>
      <w:bookmarkStart w:id="29" w:name="_Toc15377205"/>
      <w:r>
        <w:rPr>
          <w:rFonts w:hint="eastAsia" w:ascii="黑体" w:hAnsi="黑体" w:eastAsia="黑体"/>
          <w:color w:val="000000"/>
          <w:sz w:val="32"/>
          <w:szCs w:val="32"/>
        </w:rPr>
        <w:t>收</w:t>
      </w:r>
      <w:r>
        <w:rPr>
          <w:rStyle w:val="25"/>
          <w:rFonts w:hint="eastAsia" w:ascii="黑体" w:hAnsi="黑体" w:eastAsia="黑体"/>
          <w:b w:val="0"/>
        </w:rPr>
        <w:t>入支出决算总体情况说明</w:t>
      </w:r>
      <w:bookmarkEnd w:id="28"/>
      <w:bookmarkEnd w:id="29"/>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2018年度总收入8</w:t>
      </w:r>
      <w:r>
        <w:rPr>
          <w:rFonts w:ascii="仿宋" w:hAnsi="仿宋" w:eastAsia="仿宋"/>
          <w:color w:val="000000"/>
          <w:sz w:val="32"/>
          <w:szCs w:val="32"/>
        </w:rPr>
        <w:t>26.79</w:t>
      </w:r>
      <w:r>
        <w:rPr>
          <w:rFonts w:hint="eastAsia" w:ascii="仿宋" w:hAnsi="仿宋" w:eastAsia="仿宋"/>
          <w:color w:val="000000"/>
          <w:sz w:val="32"/>
          <w:szCs w:val="32"/>
        </w:rPr>
        <w:t>万元，与2017年相比，收入增加3</w:t>
      </w:r>
      <w:r>
        <w:rPr>
          <w:rFonts w:ascii="仿宋" w:hAnsi="仿宋" w:eastAsia="仿宋"/>
          <w:color w:val="000000"/>
          <w:sz w:val="32"/>
          <w:szCs w:val="32"/>
        </w:rPr>
        <w:t>5.6</w:t>
      </w:r>
      <w:r>
        <w:rPr>
          <w:rFonts w:hint="eastAsia" w:ascii="仿宋" w:hAnsi="仿宋" w:eastAsia="仿宋"/>
          <w:color w:val="000000"/>
          <w:sz w:val="32"/>
          <w:szCs w:val="32"/>
        </w:rPr>
        <w:t>%；2018年度总支出</w:t>
      </w:r>
      <w:r>
        <w:rPr>
          <w:rFonts w:ascii="仿宋" w:hAnsi="仿宋" w:eastAsia="仿宋"/>
          <w:color w:val="000000"/>
          <w:sz w:val="32"/>
          <w:szCs w:val="32"/>
        </w:rPr>
        <w:t>843.68</w:t>
      </w:r>
      <w:r>
        <w:rPr>
          <w:rFonts w:hint="eastAsia" w:ascii="仿宋" w:hAnsi="仿宋" w:eastAsia="仿宋"/>
          <w:color w:val="000000"/>
          <w:sz w:val="32"/>
          <w:szCs w:val="32"/>
        </w:rPr>
        <w:t>万元，与2017年相比，支出增加3</w:t>
      </w:r>
      <w:r>
        <w:rPr>
          <w:rFonts w:ascii="仿宋" w:hAnsi="仿宋" w:eastAsia="仿宋"/>
          <w:color w:val="000000"/>
          <w:sz w:val="32"/>
          <w:szCs w:val="32"/>
        </w:rPr>
        <w:t>7.3</w:t>
      </w:r>
      <w:r>
        <w:rPr>
          <w:rFonts w:hint="eastAsia" w:ascii="仿宋" w:hAnsi="仿宋" w:eastAsia="仿宋"/>
          <w:color w:val="000000"/>
          <w:sz w:val="32"/>
          <w:szCs w:val="32"/>
        </w:rPr>
        <w:t>%。主要变动原因是2</w:t>
      </w:r>
      <w:r>
        <w:rPr>
          <w:rFonts w:ascii="仿宋" w:hAnsi="仿宋" w:eastAsia="仿宋"/>
          <w:color w:val="000000"/>
          <w:sz w:val="32"/>
          <w:szCs w:val="32"/>
        </w:rPr>
        <w:t>018</w:t>
      </w:r>
      <w:r>
        <w:rPr>
          <w:rFonts w:hint="eastAsia" w:ascii="仿宋" w:hAnsi="仿宋" w:eastAsia="仿宋"/>
          <w:color w:val="000000"/>
          <w:sz w:val="32"/>
          <w:szCs w:val="32"/>
        </w:rPr>
        <w:t>年监察体制改革，检察院转隶人员8人，基本支出有所增加；项目方面加大了党风廉政宣传力度和</w:t>
      </w:r>
      <w:r>
        <w:rPr>
          <w:rFonts w:eastAsia="仿宋_GB2312"/>
          <w:color w:val="000000"/>
          <w:kern w:val="0"/>
          <w:sz w:val="32"/>
          <w:szCs w:val="32"/>
        </w:rPr>
        <w:t>执纪审查</w:t>
      </w:r>
      <w:r>
        <w:rPr>
          <w:rFonts w:hint="eastAsia" w:eastAsia="仿宋_GB2312"/>
          <w:color w:val="000000"/>
          <w:kern w:val="0"/>
          <w:sz w:val="32"/>
          <w:szCs w:val="32"/>
        </w:rPr>
        <w:t>和监察调查力度，办理多起留置案，费用较往年有所增加。</w:t>
      </w:r>
    </w:p>
    <w:p>
      <w:pPr>
        <w:pStyle w:val="23"/>
        <w:numPr>
          <w:ilvl w:val="0"/>
          <w:numId w:val="2"/>
        </w:numPr>
        <w:spacing w:line="600" w:lineRule="exact"/>
        <w:ind w:firstLineChars="0"/>
        <w:outlineLvl w:val="1"/>
        <w:rPr>
          <w:rStyle w:val="25"/>
          <w:rFonts w:ascii="黑体" w:hAnsi="黑体" w:eastAsia="黑体"/>
          <w:b w:val="0"/>
        </w:rPr>
      </w:pPr>
      <w:bookmarkStart w:id="30" w:name="_Toc15377206"/>
      <w:bookmarkStart w:id="31" w:name="_Toc15396604"/>
      <w:r>
        <w:rPr>
          <w:rFonts w:hint="eastAsia" w:ascii="黑体" w:hAnsi="黑体" w:eastAsia="黑体"/>
          <w:color w:val="000000"/>
          <w:sz w:val="32"/>
          <w:szCs w:val="32"/>
        </w:rPr>
        <w:t>收</w:t>
      </w:r>
      <w:r>
        <w:rPr>
          <w:rStyle w:val="25"/>
          <w:rFonts w:hint="eastAsia" w:ascii="黑体" w:hAnsi="黑体" w:eastAsia="黑体"/>
          <w:b w:val="0"/>
        </w:rPr>
        <w:t>入决算情况说明</w:t>
      </w:r>
      <w:bookmarkEnd w:id="30"/>
      <w:bookmarkEnd w:id="31"/>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ascii="仿宋" w:hAnsi="仿宋" w:eastAsia="仿宋"/>
          <w:color w:val="000000"/>
          <w:sz w:val="32"/>
          <w:szCs w:val="32"/>
        </w:rPr>
        <w:t>826.79</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826.79</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w:t>
      </w:r>
    </w:p>
    <w:p>
      <w:pPr>
        <w:pStyle w:val="23"/>
        <w:numPr>
          <w:ilvl w:val="0"/>
          <w:numId w:val="2"/>
        </w:numPr>
        <w:spacing w:line="600" w:lineRule="exact"/>
        <w:ind w:firstLineChars="0"/>
        <w:outlineLvl w:val="1"/>
        <w:rPr>
          <w:rStyle w:val="25"/>
          <w:rFonts w:ascii="黑体" w:hAnsi="黑体" w:eastAsia="黑体"/>
          <w:b w:val="0"/>
        </w:rPr>
      </w:pPr>
      <w:bookmarkStart w:id="32" w:name="_Toc15377207"/>
      <w:bookmarkStart w:id="33" w:name="_Toc15396605"/>
      <w:r>
        <w:rPr>
          <w:rFonts w:hint="eastAsia" w:ascii="黑体" w:hAnsi="黑体" w:eastAsia="黑体"/>
          <w:color w:val="000000"/>
          <w:sz w:val="32"/>
          <w:szCs w:val="32"/>
        </w:rPr>
        <w:t>支</w:t>
      </w:r>
      <w:r>
        <w:rPr>
          <w:rStyle w:val="25"/>
          <w:rFonts w:hint="eastAsia" w:ascii="黑体" w:hAnsi="黑体" w:eastAsia="黑体"/>
          <w:b w:val="0"/>
        </w:rPr>
        <w:t>出决算情况说明</w:t>
      </w:r>
      <w:bookmarkEnd w:id="32"/>
      <w:bookmarkEnd w:id="33"/>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ascii="仿宋" w:hAnsi="仿宋" w:eastAsia="仿宋"/>
          <w:color w:val="000000"/>
          <w:sz w:val="32"/>
          <w:szCs w:val="32"/>
        </w:rPr>
        <w:t>843.68</w:t>
      </w:r>
      <w:r>
        <w:rPr>
          <w:rFonts w:hint="eastAsia" w:ascii="仿宋" w:hAnsi="仿宋" w:eastAsia="仿宋"/>
          <w:color w:val="000000"/>
          <w:sz w:val="32"/>
          <w:szCs w:val="32"/>
        </w:rPr>
        <w:t>万元，其中：基本支出</w:t>
      </w:r>
      <w:r>
        <w:rPr>
          <w:rFonts w:ascii="仿宋" w:hAnsi="仿宋" w:eastAsia="仿宋"/>
          <w:color w:val="000000"/>
          <w:sz w:val="32"/>
          <w:szCs w:val="32"/>
        </w:rPr>
        <w:t>552.58</w:t>
      </w:r>
      <w:r>
        <w:rPr>
          <w:rFonts w:hint="eastAsia" w:ascii="仿宋" w:hAnsi="仿宋" w:eastAsia="仿宋"/>
          <w:color w:val="000000"/>
          <w:sz w:val="32"/>
          <w:szCs w:val="32"/>
        </w:rPr>
        <w:t>万元，占</w:t>
      </w:r>
      <w:r>
        <w:rPr>
          <w:rFonts w:ascii="仿宋" w:hAnsi="仿宋" w:eastAsia="仿宋"/>
          <w:color w:val="000000"/>
          <w:sz w:val="32"/>
          <w:szCs w:val="32"/>
        </w:rPr>
        <w:t>65%</w:t>
      </w:r>
      <w:r>
        <w:rPr>
          <w:rFonts w:hint="eastAsia" w:ascii="仿宋" w:hAnsi="仿宋" w:eastAsia="仿宋"/>
          <w:color w:val="000000"/>
          <w:sz w:val="32"/>
          <w:szCs w:val="32"/>
        </w:rPr>
        <w:t>；项目支出</w:t>
      </w:r>
      <w:r>
        <w:rPr>
          <w:rFonts w:ascii="仿宋" w:hAnsi="仿宋" w:eastAsia="仿宋"/>
          <w:color w:val="000000"/>
          <w:sz w:val="32"/>
          <w:szCs w:val="32"/>
        </w:rPr>
        <w:t>291.1</w:t>
      </w:r>
      <w:r>
        <w:rPr>
          <w:rFonts w:hint="eastAsia" w:ascii="仿宋" w:hAnsi="仿宋" w:eastAsia="仿宋"/>
          <w:color w:val="000000"/>
          <w:sz w:val="32"/>
          <w:szCs w:val="32"/>
        </w:rPr>
        <w:t>万元，占</w:t>
      </w:r>
      <w:r>
        <w:rPr>
          <w:rFonts w:ascii="仿宋" w:hAnsi="仿宋" w:eastAsia="仿宋"/>
          <w:color w:val="000000"/>
          <w:sz w:val="32"/>
          <w:szCs w:val="32"/>
        </w:rPr>
        <w:t>35%</w:t>
      </w:r>
      <w:r>
        <w:rPr>
          <w:rFonts w:hint="eastAsia" w:ascii="仿宋" w:hAnsi="仿宋" w:eastAsia="仿宋"/>
          <w:color w:val="000000"/>
          <w:sz w:val="32"/>
          <w:szCs w:val="32"/>
        </w:rPr>
        <w:t>。</w:t>
      </w:r>
    </w:p>
    <w:p>
      <w:pPr>
        <w:spacing w:line="600" w:lineRule="exact"/>
        <w:ind w:firstLine="640" w:firstLineChars="200"/>
        <w:outlineLvl w:val="1"/>
        <w:rPr>
          <w:rStyle w:val="25"/>
          <w:rFonts w:ascii="黑体" w:hAnsi="黑体" w:eastAsia="黑体"/>
          <w:b w:val="0"/>
        </w:rPr>
      </w:pPr>
      <w:bookmarkStart w:id="34" w:name="_Toc15377208"/>
      <w:bookmarkStart w:id="35" w:name="_Toc15396606"/>
      <w:r>
        <w:rPr>
          <w:rFonts w:hint="eastAsia" w:ascii="黑体" w:hAnsi="黑体" w:eastAsia="黑体"/>
          <w:color w:val="000000"/>
          <w:sz w:val="32"/>
          <w:szCs w:val="32"/>
        </w:rPr>
        <w:t>四、财</w:t>
      </w:r>
      <w:r>
        <w:rPr>
          <w:rStyle w:val="25"/>
          <w:rFonts w:hint="eastAsia" w:ascii="黑体" w:hAnsi="黑体" w:eastAsia="黑体"/>
          <w:b w:val="0"/>
        </w:rPr>
        <w:t>政拨款收入支出决算总体情况说明</w:t>
      </w:r>
      <w:bookmarkEnd w:id="34"/>
      <w:bookmarkEnd w:id="3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w:t>
      </w:r>
      <w:r>
        <w:rPr>
          <w:rFonts w:ascii="仿宋" w:hAnsi="仿宋" w:eastAsia="仿宋"/>
          <w:color w:val="000000"/>
          <w:sz w:val="32"/>
          <w:szCs w:val="32"/>
        </w:rPr>
        <w:t>826.79</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7年相比，财政拨款收、支总计各增加</w:t>
      </w:r>
      <w:r>
        <w:rPr>
          <w:rFonts w:ascii="仿宋" w:hAnsi="仿宋" w:eastAsia="仿宋"/>
          <w:color w:val="000000"/>
          <w:sz w:val="32"/>
          <w:szCs w:val="32"/>
        </w:rPr>
        <w:t>217.74</w:t>
      </w:r>
      <w:r>
        <w:rPr>
          <w:rFonts w:hint="eastAsia" w:ascii="仿宋" w:hAnsi="仿宋" w:eastAsia="仿宋"/>
          <w:color w:val="000000"/>
          <w:sz w:val="32"/>
          <w:szCs w:val="32"/>
        </w:rPr>
        <w:t>万元，增长</w:t>
      </w:r>
      <w:r>
        <w:rPr>
          <w:rFonts w:ascii="仿宋" w:hAnsi="仿宋" w:eastAsia="仿宋"/>
          <w:color w:val="000000"/>
          <w:sz w:val="32"/>
          <w:szCs w:val="32"/>
        </w:rPr>
        <w:t>35.8%</w:t>
      </w:r>
      <w:r>
        <w:rPr>
          <w:rFonts w:hint="eastAsia" w:ascii="仿宋" w:hAnsi="仿宋" w:eastAsia="仿宋"/>
          <w:color w:val="000000"/>
          <w:sz w:val="32"/>
          <w:szCs w:val="32"/>
        </w:rPr>
        <w:t>。主要变动原因是2</w:t>
      </w:r>
      <w:r>
        <w:rPr>
          <w:rFonts w:ascii="仿宋" w:hAnsi="仿宋" w:eastAsia="仿宋"/>
          <w:color w:val="000000"/>
          <w:sz w:val="32"/>
          <w:szCs w:val="32"/>
        </w:rPr>
        <w:t>018</w:t>
      </w:r>
      <w:r>
        <w:rPr>
          <w:rFonts w:hint="eastAsia" w:ascii="仿宋" w:hAnsi="仿宋" w:eastAsia="仿宋"/>
          <w:color w:val="000000"/>
          <w:sz w:val="32"/>
          <w:szCs w:val="32"/>
        </w:rPr>
        <w:t>年监察体制改革，检察院转隶人员8人，基本支出有所增加；项目方面加大了党风廉政宣传力度和</w:t>
      </w:r>
      <w:r>
        <w:rPr>
          <w:rFonts w:eastAsia="仿宋_GB2312"/>
          <w:color w:val="000000"/>
          <w:kern w:val="0"/>
          <w:sz w:val="32"/>
          <w:szCs w:val="32"/>
        </w:rPr>
        <w:t>执纪审查</w:t>
      </w:r>
      <w:r>
        <w:rPr>
          <w:rFonts w:hint="eastAsia" w:eastAsia="仿宋_GB2312"/>
          <w:color w:val="000000"/>
          <w:kern w:val="0"/>
          <w:sz w:val="32"/>
          <w:szCs w:val="32"/>
        </w:rPr>
        <w:t>和监察调查力度，办理多起留置案，费用较往年有所增加。</w:t>
      </w:r>
    </w:p>
    <w:p>
      <w:pPr>
        <w:spacing w:line="600" w:lineRule="exact"/>
        <w:ind w:firstLine="640" w:firstLineChars="200"/>
        <w:outlineLvl w:val="1"/>
        <w:rPr>
          <w:rStyle w:val="25"/>
          <w:rFonts w:ascii="黑体" w:hAnsi="黑体" w:eastAsia="黑体"/>
          <w:b w:val="0"/>
        </w:rPr>
      </w:pPr>
      <w:bookmarkStart w:id="36" w:name="_Toc15377209"/>
      <w:bookmarkStart w:id="37"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5"/>
          <w:rFonts w:hint="eastAsia" w:ascii="黑体" w:hAnsi="黑体" w:eastAsia="黑体"/>
          <w:b w:val="0"/>
        </w:rPr>
        <w:t>般公共预算财政拨款支出决算情况说明</w:t>
      </w:r>
      <w:bookmarkEnd w:id="36"/>
      <w:bookmarkEnd w:id="37"/>
    </w:p>
    <w:p>
      <w:pPr>
        <w:spacing w:line="600" w:lineRule="exact"/>
        <w:ind w:firstLine="643" w:firstLineChars="200"/>
        <w:outlineLvl w:val="2"/>
        <w:rPr>
          <w:rFonts w:ascii="仿宋" w:hAnsi="仿宋" w:eastAsia="仿宋"/>
          <w:b/>
          <w:color w:val="000000"/>
          <w:sz w:val="32"/>
          <w:szCs w:val="32"/>
        </w:rPr>
      </w:pPr>
      <w:bookmarkStart w:id="38" w:name="_Toc15377210"/>
      <w:r>
        <w:rPr>
          <w:rFonts w:hint="eastAsia" w:ascii="仿宋" w:hAnsi="仿宋" w:eastAsia="仿宋"/>
          <w:b/>
          <w:color w:val="000000"/>
          <w:sz w:val="32"/>
          <w:szCs w:val="32"/>
        </w:rPr>
        <w:t>（一）一般公共预算财政拨款支出决算总体情况</w:t>
      </w:r>
      <w:bookmarkEnd w:id="38"/>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w:t>
      </w:r>
      <w:r>
        <w:rPr>
          <w:rFonts w:ascii="仿宋" w:hAnsi="仿宋" w:eastAsia="仿宋"/>
          <w:color w:val="000000"/>
          <w:sz w:val="32"/>
          <w:szCs w:val="32"/>
        </w:rPr>
        <w:t>826.79</w:t>
      </w:r>
      <w:r>
        <w:rPr>
          <w:rFonts w:hint="eastAsia" w:ascii="仿宋" w:hAnsi="仿宋" w:eastAsia="仿宋"/>
          <w:color w:val="000000"/>
          <w:sz w:val="32"/>
          <w:szCs w:val="32"/>
        </w:rPr>
        <w:t>万元，占本年支出合计的</w:t>
      </w:r>
      <w:r>
        <w:rPr>
          <w:rFonts w:ascii="仿宋" w:hAnsi="仿宋" w:eastAsia="仿宋"/>
          <w:color w:val="000000"/>
          <w:sz w:val="32"/>
          <w:szCs w:val="32"/>
        </w:rPr>
        <w:t>97.6%</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w:t>
      </w:r>
      <w:r>
        <w:rPr>
          <w:rFonts w:ascii="仿宋" w:hAnsi="仿宋" w:eastAsia="仿宋"/>
          <w:color w:val="000000"/>
          <w:sz w:val="32"/>
          <w:szCs w:val="32"/>
        </w:rPr>
        <w:t>217.74</w:t>
      </w:r>
      <w:r>
        <w:rPr>
          <w:rFonts w:hint="eastAsia" w:ascii="仿宋" w:hAnsi="仿宋" w:eastAsia="仿宋"/>
          <w:color w:val="000000"/>
          <w:sz w:val="32"/>
          <w:szCs w:val="32"/>
        </w:rPr>
        <w:t>万元，增长</w:t>
      </w:r>
      <w:r>
        <w:rPr>
          <w:rFonts w:ascii="仿宋" w:hAnsi="仿宋" w:eastAsia="仿宋"/>
          <w:color w:val="000000"/>
          <w:sz w:val="32"/>
          <w:szCs w:val="32"/>
        </w:rPr>
        <w:t>35.8%</w:t>
      </w:r>
      <w:r>
        <w:rPr>
          <w:rFonts w:hint="eastAsia" w:ascii="仿宋" w:hAnsi="仿宋" w:eastAsia="仿宋"/>
          <w:color w:val="000000"/>
          <w:sz w:val="32"/>
          <w:szCs w:val="32"/>
        </w:rPr>
        <w:t>。主要变动原因是2</w:t>
      </w:r>
      <w:r>
        <w:rPr>
          <w:rFonts w:ascii="仿宋" w:hAnsi="仿宋" w:eastAsia="仿宋"/>
          <w:color w:val="000000"/>
          <w:sz w:val="32"/>
          <w:szCs w:val="32"/>
        </w:rPr>
        <w:t>018</w:t>
      </w:r>
      <w:r>
        <w:rPr>
          <w:rFonts w:hint="eastAsia" w:ascii="仿宋" w:hAnsi="仿宋" w:eastAsia="仿宋"/>
          <w:color w:val="000000"/>
          <w:sz w:val="32"/>
          <w:szCs w:val="32"/>
        </w:rPr>
        <w:t>年监察体制改革，检察院转隶人员8人，基本支出有所增加；项目方面加大了党风廉政宣传力度和</w:t>
      </w:r>
      <w:r>
        <w:rPr>
          <w:rFonts w:eastAsia="仿宋_GB2312"/>
          <w:color w:val="000000"/>
          <w:kern w:val="0"/>
          <w:sz w:val="32"/>
          <w:szCs w:val="32"/>
        </w:rPr>
        <w:t>执纪审查</w:t>
      </w:r>
      <w:r>
        <w:rPr>
          <w:rFonts w:hint="eastAsia" w:eastAsia="仿宋_GB2312"/>
          <w:color w:val="000000"/>
          <w:kern w:val="0"/>
          <w:sz w:val="32"/>
          <w:szCs w:val="32"/>
        </w:rPr>
        <w:t>和监察调查力度，办理多起留置案，费用较往年有所增加。</w:t>
      </w:r>
    </w:p>
    <w:p>
      <w:pPr>
        <w:spacing w:line="600" w:lineRule="exact"/>
        <w:ind w:firstLine="643" w:firstLineChars="200"/>
        <w:outlineLvl w:val="2"/>
        <w:rPr>
          <w:rFonts w:ascii="仿宋" w:hAnsi="仿宋" w:eastAsia="仿宋"/>
          <w:b/>
          <w:color w:val="000000"/>
          <w:sz w:val="32"/>
          <w:szCs w:val="32"/>
        </w:rPr>
      </w:pPr>
      <w:bookmarkStart w:id="39" w:name="_Toc15377211"/>
      <w:r>
        <w:rPr>
          <w:rFonts w:hint="eastAsia" w:ascii="仿宋" w:hAnsi="仿宋" w:eastAsia="仿宋"/>
          <w:b/>
          <w:color w:val="000000"/>
          <w:sz w:val="32"/>
          <w:szCs w:val="32"/>
        </w:rPr>
        <w:t>（二）一般公共预算财政拨款支出决算结构情况</w:t>
      </w:r>
      <w:bookmarkEnd w:id="3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w:t>
      </w:r>
      <w:r>
        <w:rPr>
          <w:rFonts w:ascii="仿宋" w:hAnsi="仿宋" w:eastAsia="仿宋"/>
          <w:color w:val="000000" w:themeColor="text1"/>
          <w:sz w:val="32"/>
          <w:szCs w:val="32"/>
          <w14:textFill>
            <w14:solidFill>
              <w14:schemeClr w14:val="tx1"/>
            </w14:solidFill>
          </w14:textFill>
        </w:rPr>
        <w:t>826.79</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ascii="仿宋" w:hAnsi="仿宋" w:eastAsia="仿宋"/>
          <w:color w:val="000000" w:themeColor="text1"/>
          <w:sz w:val="32"/>
          <w:szCs w:val="32"/>
          <w14:textFill>
            <w14:solidFill>
              <w14:schemeClr w14:val="tx1"/>
            </w14:solidFill>
          </w14:textFill>
        </w:rPr>
        <w:t>720.96</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87.3%</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ascii="仿宋" w:hAnsi="仿宋" w:eastAsia="仿宋"/>
          <w:color w:val="000000" w:themeColor="text1"/>
          <w:sz w:val="32"/>
          <w:szCs w:val="32"/>
          <w14:textFill>
            <w14:solidFill>
              <w14:schemeClr w14:val="tx1"/>
            </w14:solidFill>
          </w14:textFill>
        </w:rPr>
        <w:t>47.23</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5.7%</w:t>
      </w:r>
      <w:r>
        <w:rPr>
          <w:rFonts w:hint="eastAsia" w:ascii="仿宋" w:hAnsi="仿宋" w:eastAsia="仿宋"/>
          <w:color w:val="000000" w:themeColor="text1"/>
          <w:sz w:val="32"/>
          <w:szCs w:val="32"/>
          <w14:textFill>
            <w14:solidFill>
              <w14:schemeClr w14:val="tx1"/>
            </w14:solidFill>
          </w14:textFill>
        </w:rPr>
        <w:t>；医疗卫生支出</w:t>
      </w:r>
      <w:r>
        <w:rPr>
          <w:rFonts w:ascii="仿宋" w:hAnsi="仿宋" w:eastAsia="仿宋"/>
          <w:color w:val="000000" w:themeColor="text1"/>
          <w:sz w:val="32"/>
          <w:szCs w:val="32"/>
          <w14:textFill>
            <w14:solidFill>
              <w14:schemeClr w14:val="tx1"/>
            </w14:solidFill>
          </w14:textFill>
        </w:rPr>
        <w:t>15.25</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1.8%</w:t>
      </w:r>
      <w:r>
        <w:rPr>
          <w:rFonts w:hint="eastAsia" w:ascii="仿宋" w:hAnsi="仿宋" w:eastAsia="仿宋"/>
          <w:color w:val="000000" w:themeColor="text1"/>
          <w:sz w:val="32"/>
          <w:szCs w:val="32"/>
          <w14:textFill>
            <w14:solidFill>
              <w14:schemeClr w14:val="tx1"/>
            </w14:solidFill>
          </w14:textFill>
        </w:rPr>
        <w:t>；住房保障支出</w:t>
      </w:r>
      <w:r>
        <w:rPr>
          <w:rFonts w:ascii="仿宋" w:hAnsi="仿宋" w:eastAsia="仿宋"/>
          <w:color w:val="000000" w:themeColor="text1"/>
          <w:sz w:val="32"/>
          <w:szCs w:val="32"/>
          <w14:textFill>
            <w14:solidFill>
              <w14:schemeClr w14:val="tx1"/>
            </w14:solidFill>
          </w14:textFill>
        </w:rPr>
        <w:t>43.35</w:t>
      </w:r>
      <w:r>
        <w:rPr>
          <w:rFonts w:hint="eastAsia" w:ascii="仿宋" w:hAnsi="仿宋" w:eastAsia="仿宋"/>
          <w:color w:val="000000" w:themeColor="text1"/>
          <w:sz w:val="32"/>
          <w:szCs w:val="32"/>
          <w14:textFill>
            <w14:solidFill>
              <w14:schemeClr w14:val="tx1"/>
            </w14:solidFill>
          </w14:textFill>
        </w:rPr>
        <w:t>万元，占</w:t>
      </w:r>
      <w:r>
        <w:rPr>
          <w:rFonts w:ascii="仿宋" w:hAnsi="仿宋" w:eastAsia="仿宋"/>
          <w:color w:val="000000" w:themeColor="text1"/>
          <w:sz w:val="32"/>
          <w:szCs w:val="32"/>
          <w14:textFill>
            <w14:solidFill>
              <w14:schemeClr w14:val="tx1"/>
            </w14:solidFill>
          </w14:textFill>
        </w:rPr>
        <w:t>5.2%</w:t>
      </w:r>
      <w:r>
        <w:rPr>
          <w:rFonts w:hint="eastAsia" w:ascii="仿宋" w:hAnsi="仿宋" w:eastAsia="仿宋"/>
          <w:color w:val="000000" w:themeColor="text1"/>
          <w:sz w:val="32"/>
          <w:szCs w:val="32"/>
          <w14:textFill>
            <w14:solidFill>
              <w14:schemeClr w14:val="tx1"/>
            </w14:solidFill>
          </w14:textFill>
        </w:rPr>
        <w:t>。</w:t>
      </w:r>
    </w:p>
    <w:p>
      <w:pPr>
        <w:spacing w:line="600" w:lineRule="exact"/>
        <w:ind w:firstLine="643" w:firstLineChars="200"/>
        <w:outlineLvl w:val="2"/>
        <w:rPr>
          <w:rFonts w:ascii="仿宋" w:hAnsi="仿宋" w:eastAsia="仿宋"/>
          <w:b/>
          <w:color w:val="000000"/>
          <w:sz w:val="32"/>
          <w:szCs w:val="32"/>
        </w:rPr>
      </w:pPr>
      <w:bookmarkStart w:id="40" w:name="_Toc15377212"/>
      <w:r>
        <w:rPr>
          <w:rFonts w:hint="eastAsia" w:ascii="仿宋" w:hAnsi="仿宋" w:eastAsia="仿宋"/>
          <w:b/>
          <w:color w:val="000000"/>
          <w:sz w:val="32"/>
          <w:szCs w:val="32"/>
        </w:rPr>
        <w:t>（三）一般公共预算财政拨款支出决算具体情况</w:t>
      </w:r>
      <w:bookmarkEnd w:id="40"/>
    </w:p>
    <w:p>
      <w:pPr>
        <w:spacing w:line="600" w:lineRule="exact"/>
        <w:ind w:firstLine="643" w:firstLineChars="200"/>
        <w:rPr>
          <w:rStyle w:val="14"/>
          <w:rFonts w:ascii="仿宋" w:hAnsi="仿宋" w:eastAsia="仿宋"/>
          <w:bCs/>
          <w:color w:val="000000"/>
          <w:sz w:val="32"/>
          <w:szCs w:val="32"/>
        </w:rPr>
      </w:pPr>
      <w:bookmarkStart w:id="41" w:name="_Toc15377213"/>
      <w:bookmarkStart w:id="42" w:name="_Toc15377444"/>
      <w:bookmarkStart w:id="43" w:name="_Toc15378460"/>
      <w:r>
        <w:rPr>
          <w:rFonts w:hint="eastAsia" w:ascii="仿宋" w:hAnsi="仿宋" w:eastAsia="仿宋"/>
          <w:b/>
          <w:color w:val="000000" w:themeColor="text1"/>
          <w:sz w:val="32"/>
          <w:szCs w:val="32"/>
          <w14:textFill>
            <w14:solidFill>
              <w14:schemeClr w14:val="tx1"/>
            </w14:solidFill>
          </w14:textFill>
        </w:rPr>
        <w:t>2018年一般公共预算支出决算数为</w:t>
      </w:r>
      <w:r>
        <w:rPr>
          <w:rFonts w:ascii="仿宋" w:hAnsi="仿宋" w:eastAsia="仿宋"/>
          <w:b/>
          <w:color w:val="000000" w:themeColor="text1"/>
          <w:sz w:val="32"/>
          <w:szCs w:val="32"/>
          <w14:textFill>
            <w14:solidFill>
              <w14:schemeClr w14:val="tx1"/>
            </w14:solidFill>
          </w14:textFill>
        </w:rPr>
        <w:t>835.31</w:t>
      </w:r>
      <w:r>
        <w:rPr>
          <w:rFonts w:hint="eastAsia" w:ascii="仿宋" w:hAnsi="仿宋" w:eastAsia="仿宋"/>
          <w:color w:val="000000" w:themeColor="text1"/>
          <w:sz w:val="32"/>
          <w:szCs w:val="32"/>
          <w14:textFill>
            <w14:solidFill>
              <w14:schemeClr w14:val="tx1"/>
            </w14:solidFill>
          </w14:textFill>
        </w:rPr>
        <w:t>，</w:t>
      </w:r>
      <w:r>
        <w:rPr>
          <w:rStyle w:val="14"/>
          <w:rFonts w:hint="eastAsia" w:ascii="仿宋" w:hAnsi="仿宋" w:eastAsia="仿宋"/>
          <w:bCs/>
          <w:color w:val="000000" w:themeColor="text1"/>
          <w:sz w:val="32"/>
          <w:szCs w:val="32"/>
          <w14:textFill>
            <w14:solidFill>
              <w14:schemeClr w14:val="tx1"/>
            </w14:solidFill>
          </w14:textFill>
        </w:rPr>
        <w:t>完成</w:t>
      </w:r>
      <w:r>
        <w:rPr>
          <w:rStyle w:val="14"/>
          <w:rFonts w:hint="eastAsia" w:ascii="仿宋" w:hAnsi="仿宋" w:eastAsia="仿宋"/>
          <w:bCs/>
          <w:color w:val="000000"/>
          <w:sz w:val="32"/>
          <w:szCs w:val="32"/>
        </w:rPr>
        <w:t>预算</w:t>
      </w:r>
      <w:r>
        <w:rPr>
          <w:rStyle w:val="14"/>
          <w:rFonts w:ascii="仿宋" w:hAnsi="仿宋" w:eastAsia="仿宋"/>
          <w:bCs/>
          <w:color w:val="000000"/>
          <w:sz w:val="32"/>
          <w:szCs w:val="32"/>
        </w:rPr>
        <w:t>100%</w:t>
      </w:r>
      <w:r>
        <w:rPr>
          <w:rStyle w:val="14"/>
          <w:rFonts w:hint="eastAsia" w:ascii="仿宋" w:hAnsi="仿宋" w:eastAsia="仿宋"/>
          <w:bCs/>
          <w:color w:val="000000"/>
          <w:sz w:val="32"/>
          <w:szCs w:val="32"/>
        </w:rPr>
        <w:t>。其中：</w:t>
      </w:r>
      <w:bookmarkEnd w:id="41"/>
      <w:bookmarkEnd w:id="42"/>
      <w:bookmarkEnd w:id="43"/>
    </w:p>
    <w:p>
      <w:pPr>
        <w:spacing w:line="600" w:lineRule="exact"/>
        <w:ind w:firstLine="640"/>
        <w:rPr>
          <w:rFonts w:eastAsia="仿宋_GB2312"/>
          <w:color w:val="000000"/>
          <w:sz w:val="32"/>
          <w:szCs w:val="32"/>
        </w:rPr>
      </w:pPr>
      <w:r>
        <w:rPr>
          <w:rStyle w:val="14"/>
          <w:rFonts w:eastAsia="仿宋_GB2312"/>
          <w:color w:val="000000"/>
          <w:sz w:val="32"/>
          <w:szCs w:val="32"/>
        </w:rPr>
        <w:t>1.一般公共服务:</w:t>
      </w:r>
      <w:r>
        <w:rPr>
          <w:rStyle w:val="14"/>
          <w:rFonts w:eastAsia="仿宋_GB2312"/>
          <w:b w:val="0"/>
          <w:color w:val="000000"/>
          <w:sz w:val="32"/>
          <w:szCs w:val="32"/>
        </w:rPr>
        <w:t xml:space="preserve"> </w:t>
      </w:r>
      <w:r>
        <w:rPr>
          <w:rFonts w:eastAsia="仿宋_GB2312"/>
          <w:color w:val="000000"/>
          <w:sz w:val="32"/>
          <w:szCs w:val="32"/>
        </w:rPr>
        <w:t>2010302</w:t>
      </w:r>
      <w:r>
        <w:rPr>
          <w:rFonts w:hint="eastAsia" w:eastAsia="仿宋_GB2312"/>
          <w:color w:val="000000"/>
          <w:sz w:val="32"/>
          <w:szCs w:val="32"/>
        </w:rPr>
        <w:t>一般行政管理事务</w:t>
      </w:r>
      <w:r>
        <w:rPr>
          <w:rFonts w:eastAsia="仿宋_GB2312"/>
          <w:color w:val="000000"/>
          <w:sz w:val="32"/>
          <w:szCs w:val="32"/>
        </w:rPr>
        <w:t>支出决算为104.58万元，完成预算100%；2011101行政运行支出决算为391.74万元，完成预算100%；2011102一般行政管理事务支出决算为166.38万元，完成预算100%；2011150事业运行支出决算为46.63万元，完成预算100%；2011199其他纪检监察事务支出决算为20.14万元，完成预算100%。</w:t>
      </w:r>
    </w:p>
    <w:p>
      <w:pPr>
        <w:spacing w:line="600" w:lineRule="exact"/>
        <w:ind w:firstLine="640"/>
        <w:rPr>
          <w:rFonts w:eastAsia="仿宋_GB2312"/>
          <w:b/>
          <w:color w:val="000000"/>
          <w:sz w:val="32"/>
          <w:szCs w:val="32"/>
        </w:rPr>
      </w:pPr>
      <w:r>
        <w:rPr>
          <w:rStyle w:val="14"/>
          <w:rFonts w:eastAsia="仿宋_GB2312"/>
          <w:color w:val="000000"/>
          <w:sz w:val="32"/>
          <w:szCs w:val="32"/>
        </w:rPr>
        <w:t>2.社会保障和就业:</w:t>
      </w:r>
      <w:r>
        <w:rPr>
          <w:rFonts w:hint="eastAsia"/>
        </w:rPr>
        <w:t xml:space="preserve"> </w:t>
      </w:r>
      <w:r>
        <w:rPr>
          <w:rFonts w:eastAsia="仿宋_GB2312"/>
          <w:color w:val="000000"/>
          <w:sz w:val="32"/>
          <w:szCs w:val="32"/>
        </w:rPr>
        <w:t>2080199</w:t>
      </w:r>
      <w:r>
        <w:rPr>
          <w:rStyle w:val="14"/>
          <w:rFonts w:hint="eastAsia" w:eastAsia="仿宋_GB2312"/>
          <w:b w:val="0"/>
          <w:bCs/>
          <w:color w:val="000000"/>
          <w:sz w:val="32"/>
          <w:szCs w:val="32"/>
        </w:rPr>
        <w:t>其他人力资源和社会保障管理事务支出</w:t>
      </w:r>
      <w:r>
        <w:rPr>
          <w:rFonts w:eastAsia="仿宋_GB2312"/>
          <w:color w:val="000000"/>
          <w:sz w:val="32"/>
          <w:szCs w:val="32"/>
        </w:rPr>
        <w:t>1</w:t>
      </w:r>
      <w:r>
        <w:rPr>
          <w:rFonts w:hint="eastAsia" w:eastAsia="仿宋_GB2312"/>
          <w:color w:val="000000"/>
          <w:sz w:val="32"/>
          <w:szCs w:val="32"/>
        </w:rPr>
        <w:t>万元，完成预算1</w:t>
      </w:r>
      <w:r>
        <w:rPr>
          <w:rFonts w:eastAsia="仿宋_GB2312"/>
          <w:color w:val="000000"/>
          <w:sz w:val="32"/>
          <w:szCs w:val="32"/>
        </w:rPr>
        <w:t>00</w:t>
      </w:r>
      <w:r>
        <w:rPr>
          <w:rFonts w:hint="eastAsia" w:eastAsia="仿宋_GB2312"/>
          <w:color w:val="000000"/>
          <w:sz w:val="32"/>
          <w:szCs w:val="32"/>
        </w:rPr>
        <w:t>%；</w:t>
      </w:r>
      <w:r>
        <w:rPr>
          <w:rFonts w:eastAsia="仿宋_GB2312"/>
          <w:color w:val="000000"/>
          <w:sz w:val="32"/>
          <w:szCs w:val="32"/>
        </w:rPr>
        <w:t>2080504未归口管理的行政单位离退休</w:t>
      </w:r>
      <w:r>
        <w:rPr>
          <w:rFonts w:hint="eastAsia" w:eastAsia="仿宋_GB2312"/>
          <w:color w:val="000000"/>
          <w:sz w:val="32"/>
          <w:szCs w:val="32"/>
        </w:rPr>
        <w:t>支出决算数</w:t>
      </w:r>
      <w:r>
        <w:rPr>
          <w:rFonts w:eastAsia="仿宋_GB2312"/>
          <w:color w:val="000000"/>
          <w:sz w:val="32"/>
          <w:szCs w:val="32"/>
        </w:rPr>
        <w:t>为5.22万元，完成预算100%；2080505机关事业单位基本养老保险缴费支出决算数为34.19万元，完成预算100%</w:t>
      </w:r>
      <w:r>
        <w:rPr>
          <w:rFonts w:hint="eastAsia" w:eastAsia="仿宋_GB2312"/>
          <w:color w:val="000000"/>
          <w:sz w:val="32"/>
          <w:szCs w:val="32"/>
        </w:rPr>
        <w:t>；</w:t>
      </w:r>
      <w:r>
        <w:rPr>
          <w:rFonts w:eastAsia="仿宋_GB2312"/>
          <w:color w:val="000000"/>
          <w:sz w:val="32"/>
          <w:szCs w:val="32"/>
        </w:rPr>
        <w:t>2080506</w:t>
      </w:r>
      <w:r>
        <w:rPr>
          <w:rFonts w:hint="eastAsia" w:eastAsia="仿宋_GB2312"/>
          <w:color w:val="000000"/>
          <w:sz w:val="32"/>
          <w:szCs w:val="32"/>
        </w:rPr>
        <w:t>机关事业单位职业年金缴费支出</w:t>
      </w:r>
      <w:r>
        <w:rPr>
          <w:rFonts w:eastAsia="仿宋_GB2312"/>
          <w:color w:val="000000"/>
          <w:sz w:val="32"/>
          <w:szCs w:val="32"/>
        </w:rPr>
        <w:t>决算数为6.82万元，完成预算100%。</w:t>
      </w:r>
      <w:r>
        <w:rPr>
          <w:rFonts w:eastAsia="仿宋_GB2312"/>
          <w:color w:val="000000"/>
          <w:sz w:val="32"/>
          <w:szCs w:val="32"/>
        </w:rPr>
        <w:br w:type="textWrapping"/>
      </w:r>
      <w:r>
        <w:rPr>
          <w:rFonts w:eastAsia="仿宋_GB2312"/>
          <w:color w:val="000000"/>
          <w:sz w:val="32"/>
          <w:szCs w:val="32"/>
        </w:rPr>
        <w:t>　　</w:t>
      </w:r>
      <w:r>
        <w:rPr>
          <w:rStyle w:val="14"/>
          <w:rFonts w:eastAsia="仿宋_GB2312"/>
          <w:color w:val="000000"/>
          <w:sz w:val="32"/>
          <w:szCs w:val="32"/>
        </w:rPr>
        <w:t>3.住房保障:</w:t>
      </w:r>
      <w:r>
        <w:rPr>
          <w:rFonts w:eastAsia="仿宋_GB2312"/>
          <w:color w:val="000000"/>
          <w:sz w:val="32"/>
          <w:szCs w:val="32"/>
        </w:rPr>
        <w:t>2210201住房公积金支出决算为43.35万元，完成预算100%。</w:t>
      </w:r>
    </w:p>
    <w:p>
      <w:pPr>
        <w:spacing w:line="560" w:lineRule="exact"/>
        <w:ind w:firstLine="640"/>
        <w:rPr>
          <w:rFonts w:ascii="仿宋" w:hAnsi="仿宋" w:eastAsia="仿宋"/>
          <w:color w:val="000000"/>
          <w:sz w:val="32"/>
          <w:szCs w:val="32"/>
        </w:rPr>
      </w:pPr>
      <w:r>
        <w:rPr>
          <w:rStyle w:val="14"/>
          <w:rFonts w:eastAsia="仿宋_GB2312"/>
          <w:color w:val="000000"/>
          <w:sz w:val="32"/>
          <w:szCs w:val="32"/>
        </w:rPr>
        <w:t>4.医疗卫生与计划生育:2101101行政单位医疗</w:t>
      </w:r>
      <w:r>
        <w:rPr>
          <w:rStyle w:val="14"/>
          <w:rFonts w:eastAsia="仿宋_GB2312"/>
          <w:b w:val="0"/>
          <w:color w:val="000000"/>
          <w:sz w:val="32"/>
          <w:szCs w:val="32"/>
        </w:rPr>
        <w:t>支出决算为15.25万元，完成预算1</w:t>
      </w:r>
      <w:r>
        <w:rPr>
          <w:rStyle w:val="14"/>
          <w:rFonts w:eastAsia="仿宋_GB2312"/>
          <w:color w:val="000000"/>
          <w:sz w:val="32"/>
          <w:szCs w:val="32"/>
        </w:rPr>
        <w:t>00</w:t>
      </w:r>
      <w:r>
        <w:rPr>
          <w:rStyle w:val="14"/>
          <w:rFonts w:eastAsia="仿宋_GB2312"/>
          <w:b w:val="0"/>
          <w:color w:val="000000"/>
          <w:sz w:val="32"/>
          <w:szCs w:val="32"/>
        </w:rPr>
        <w:t>%</w:t>
      </w:r>
      <w:r>
        <w:rPr>
          <w:rStyle w:val="14"/>
          <w:rFonts w:hint="eastAsia" w:eastAsia="仿宋_GB2312"/>
          <w:b w:val="0"/>
          <w:color w:val="000000"/>
          <w:sz w:val="32"/>
          <w:szCs w:val="32"/>
        </w:rPr>
        <w:t>。</w:t>
      </w:r>
    </w:p>
    <w:p>
      <w:pPr>
        <w:tabs>
          <w:tab w:val="right" w:pos="8306"/>
        </w:tabs>
        <w:spacing w:line="600" w:lineRule="exact"/>
        <w:ind w:firstLine="640"/>
        <w:outlineLvl w:val="1"/>
        <w:rPr>
          <w:rStyle w:val="25"/>
        </w:rPr>
      </w:pPr>
      <w:bookmarkStart w:id="44" w:name="_Toc15396608"/>
      <w:bookmarkStart w:id="45"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5"/>
          <w:rFonts w:hint="eastAsia" w:ascii="黑体" w:hAnsi="黑体" w:eastAsia="黑体"/>
          <w:b w:val="0"/>
        </w:rPr>
        <w:t>般公共预算财政拨款基本支出决算情况说明</w:t>
      </w:r>
      <w:bookmarkEnd w:id="44"/>
      <w:bookmarkEnd w:id="45"/>
      <w:r>
        <w:rPr>
          <w:rStyle w:val="2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w:t>
      </w:r>
      <w:r>
        <w:rPr>
          <w:rFonts w:ascii="仿宋" w:hAnsi="仿宋" w:eastAsia="仿宋"/>
          <w:color w:val="000000"/>
          <w:sz w:val="32"/>
          <w:szCs w:val="32"/>
        </w:rPr>
        <w:t>835.31</w:t>
      </w:r>
      <w:r>
        <w:rPr>
          <w:rFonts w:hint="eastAsia" w:ascii="仿宋" w:hAnsi="仿宋" w:eastAsia="仿宋"/>
          <w:color w:val="000000"/>
          <w:sz w:val="32"/>
          <w:szCs w:val="32"/>
        </w:rPr>
        <w:t>万元，其中：</w:t>
      </w:r>
    </w:p>
    <w:p>
      <w:pPr>
        <w:spacing w:line="560" w:lineRule="exact"/>
        <w:ind w:firstLine="640"/>
        <w:rPr>
          <w:rFonts w:eastAsia="仿宋_GB2312"/>
          <w:b/>
          <w:color w:val="000000"/>
          <w:sz w:val="32"/>
          <w:szCs w:val="32"/>
        </w:rPr>
      </w:pPr>
      <w:r>
        <w:rPr>
          <w:rFonts w:eastAsia="仿宋_GB2312"/>
          <w:color w:val="000000"/>
          <w:sz w:val="32"/>
          <w:szCs w:val="32"/>
        </w:rPr>
        <w:t>人员经费446.72万元，主要包括：基本工资、津贴补贴、奖金、绩效工资、机关事业单位基本养老保险缴费、职业年金缴费、其他社会保障缴费、退休费、医疗费、住房公积金、其他对个人和家庭的补助支出等。</w:t>
      </w:r>
      <w:r>
        <w:rPr>
          <w:rFonts w:eastAsia="仿宋_GB2312"/>
          <w:color w:val="000000"/>
          <w:sz w:val="32"/>
          <w:szCs w:val="32"/>
        </w:rPr>
        <w:br w:type="textWrapping"/>
      </w:r>
      <w:r>
        <w:rPr>
          <w:rFonts w:eastAsia="仿宋_GB2312"/>
          <w:color w:val="000000"/>
          <w:sz w:val="32"/>
          <w:szCs w:val="32"/>
        </w:rPr>
        <w:t>　　公用经费388.59万元，主要包括：办公费、印刷费、水费、电费、邮电费、差旅费、维修（护）费、会议费、培训费、公务接待费、劳务费、工会经费、福利费、公务用车运行维护费、其他交通费、税金及附加费用、其他商品和服务支出、办公设备购置等。</w:t>
      </w:r>
    </w:p>
    <w:p>
      <w:pPr>
        <w:spacing w:line="600" w:lineRule="exact"/>
        <w:ind w:firstLine="640"/>
        <w:outlineLvl w:val="1"/>
        <w:rPr>
          <w:rStyle w:val="25"/>
          <w:rFonts w:ascii="黑体" w:hAnsi="黑体" w:eastAsia="黑体"/>
          <w:b w:val="0"/>
        </w:rPr>
      </w:pPr>
      <w:bookmarkStart w:id="46" w:name="_Toc15396609"/>
      <w:bookmarkStart w:id="47" w:name="_Toc15377215"/>
      <w:r>
        <w:rPr>
          <w:rFonts w:hint="eastAsia" w:ascii="黑体" w:eastAsia="黑体"/>
          <w:color w:val="000000"/>
          <w:sz w:val="32"/>
          <w:szCs w:val="32"/>
        </w:rPr>
        <w:t>七、</w:t>
      </w:r>
      <w:r>
        <w:rPr>
          <w:rStyle w:val="25"/>
          <w:rFonts w:hint="eastAsia" w:ascii="黑体" w:hAnsi="黑体" w:eastAsia="黑体"/>
        </w:rPr>
        <w:t>“</w:t>
      </w:r>
      <w:r>
        <w:rPr>
          <w:rStyle w:val="25"/>
          <w:rFonts w:hint="eastAsia" w:ascii="黑体" w:hAnsi="黑体" w:eastAsia="黑体"/>
          <w:b w:val="0"/>
        </w:rPr>
        <w:t>三公”经费财政拨款支出决算情况说明</w:t>
      </w:r>
      <w:bookmarkEnd w:id="46"/>
      <w:bookmarkEnd w:id="47"/>
    </w:p>
    <w:p>
      <w:pPr>
        <w:spacing w:line="600" w:lineRule="exact"/>
        <w:ind w:firstLine="640"/>
        <w:outlineLvl w:val="2"/>
        <w:rPr>
          <w:rFonts w:ascii="仿宋" w:hAnsi="仿宋" w:eastAsia="仿宋"/>
          <w:b/>
          <w:color w:val="000000"/>
          <w:sz w:val="32"/>
          <w:szCs w:val="32"/>
        </w:rPr>
      </w:pPr>
      <w:bookmarkStart w:id="48" w:name="_Toc15377216"/>
      <w:r>
        <w:rPr>
          <w:rFonts w:hint="eastAsia" w:ascii="仿宋" w:hAnsi="仿宋" w:eastAsia="仿宋"/>
          <w:b/>
          <w:color w:val="000000"/>
          <w:sz w:val="32"/>
          <w:szCs w:val="32"/>
        </w:rPr>
        <w:t>（一）“三公”经费财政拨款支出决算总体情况说明</w:t>
      </w:r>
      <w:bookmarkEnd w:id="48"/>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w:t>
      </w:r>
      <w:r>
        <w:rPr>
          <w:rFonts w:ascii="仿宋" w:hAnsi="仿宋" w:eastAsia="仿宋"/>
          <w:color w:val="000000"/>
          <w:sz w:val="32"/>
          <w:szCs w:val="32"/>
        </w:rPr>
        <w:t>14.88</w:t>
      </w:r>
      <w:r>
        <w:rPr>
          <w:rFonts w:hint="eastAsia" w:ascii="仿宋" w:hAnsi="仿宋" w:eastAsia="仿宋"/>
          <w:color w:val="000000"/>
          <w:sz w:val="32"/>
          <w:szCs w:val="32"/>
        </w:rPr>
        <w:t>万元，完成预算</w:t>
      </w:r>
      <w:r>
        <w:rPr>
          <w:rFonts w:ascii="仿宋" w:hAnsi="仿宋" w:eastAsia="仿宋"/>
          <w:color w:val="000000"/>
          <w:sz w:val="32"/>
          <w:szCs w:val="32"/>
        </w:rPr>
        <w:t>248%</w:t>
      </w:r>
      <w:r>
        <w:rPr>
          <w:rFonts w:hint="eastAsia" w:ascii="仿宋" w:hAnsi="仿宋" w:eastAsia="仿宋"/>
          <w:color w:val="000000"/>
          <w:sz w:val="32"/>
          <w:szCs w:val="32"/>
        </w:rPr>
        <w:t>，决算数大于预算数的主要原因是因监委的成立，区检察院转隶四辆执勤执法用车，导致公务用车运行维护费较大。</w:t>
      </w:r>
    </w:p>
    <w:p>
      <w:pPr>
        <w:spacing w:line="600" w:lineRule="exact"/>
        <w:ind w:firstLine="640"/>
        <w:outlineLvl w:val="2"/>
        <w:rPr>
          <w:rFonts w:ascii="仿宋" w:hAnsi="仿宋" w:eastAsia="仿宋"/>
          <w:b/>
          <w:color w:val="000000"/>
          <w:sz w:val="32"/>
          <w:szCs w:val="32"/>
        </w:rPr>
      </w:pPr>
      <w:bookmarkStart w:id="49" w:name="_Toc15377217"/>
      <w:r>
        <w:rPr>
          <w:rFonts w:hint="eastAsia" w:ascii="仿宋" w:hAnsi="仿宋" w:eastAsia="仿宋"/>
          <w:b/>
          <w:color w:val="000000"/>
          <w:sz w:val="32"/>
          <w:szCs w:val="32"/>
        </w:rPr>
        <w:t>（二）“三公”经费财政拨款支出决算具体情况说明</w:t>
      </w:r>
      <w:bookmarkEnd w:id="4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ascii="仿宋" w:hAnsi="仿宋" w:eastAsia="仿宋"/>
          <w:color w:val="000000"/>
          <w:sz w:val="32"/>
          <w:szCs w:val="32"/>
        </w:rPr>
        <w:t>13.85</w:t>
      </w:r>
      <w:r>
        <w:rPr>
          <w:rFonts w:hint="eastAsia" w:ascii="仿宋" w:hAnsi="仿宋" w:eastAsia="仿宋"/>
          <w:color w:val="000000"/>
          <w:sz w:val="32"/>
          <w:szCs w:val="32"/>
        </w:rPr>
        <w:t>万元，占</w:t>
      </w:r>
      <w:r>
        <w:rPr>
          <w:rFonts w:ascii="仿宋" w:hAnsi="仿宋" w:eastAsia="仿宋"/>
          <w:color w:val="000000"/>
          <w:sz w:val="32"/>
          <w:szCs w:val="32"/>
        </w:rPr>
        <w:t>93%</w:t>
      </w:r>
      <w:r>
        <w:rPr>
          <w:rFonts w:hint="eastAsia" w:ascii="仿宋" w:hAnsi="仿宋" w:eastAsia="仿宋"/>
          <w:color w:val="000000"/>
          <w:sz w:val="32"/>
          <w:szCs w:val="32"/>
        </w:rPr>
        <w:t>；公务接待费支出决算</w:t>
      </w:r>
      <w:r>
        <w:rPr>
          <w:rFonts w:ascii="仿宋" w:hAnsi="仿宋" w:eastAsia="仿宋"/>
          <w:color w:val="000000"/>
          <w:sz w:val="32"/>
          <w:szCs w:val="32"/>
        </w:rPr>
        <w:t>1.03</w:t>
      </w:r>
      <w:r>
        <w:rPr>
          <w:rFonts w:hint="eastAsia" w:ascii="仿宋" w:hAnsi="仿宋" w:eastAsia="仿宋"/>
          <w:color w:val="000000"/>
          <w:sz w:val="32"/>
          <w:szCs w:val="32"/>
        </w:rPr>
        <w:t>万元，占</w:t>
      </w:r>
      <w:r>
        <w:rPr>
          <w:rFonts w:ascii="仿宋" w:hAnsi="仿宋" w:eastAsia="仿宋"/>
          <w:color w:val="000000"/>
          <w:sz w:val="32"/>
          <w:szCs w:val="32"/>
        </w:rPr>
        <w:t>7%</w:t>
      </w:r>
      <w:r>
        <w:rPr>
          <w:rFonts w:hint="eastAsia" w:ascii="仿宋" w:hAnsi="仿宋" w:eastAsia="仿宋"/>
          <w:color w:val="000000"/>
          <w:sz w:val="32"/>
          <w:szCs w:val="32"/>
        </w:rPr>
        <w:t>。具体情况如下：</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ascii="仿宋_GB2312" w:eastAsia="仿宋_GB2312"/>
          <w:b/>
          <w:bCs/>
          <w:color w:val="000000"/>
          <w:sz w:val="32"/>
          <w:szCs w:val="32"/>
        </w:rPr>
        <w:t>0</w:t>
      </w:r>
      <w:r>
        <w:rPr>
          <w:rFonts w:hint="eastAsia" w:ascii="仿宋_GB2312" w:eastAsia="仿宋_GB2312"/>
          <w:b/>
          <w:bCs/>
          <w:color w:val="000000"/>
          <w:sz w:val="32"/>
          <w:szCs w:val="32"/>
        </w:rPr>
        <w:t>万元。</w:t>
      </w:r>
    </w:p>
    <w:p>
      <w:pPr>
        <w:spacing w:line="600" w:lineRule="exact"/>
        <w:ind w:firstLine="640"/>
        <w:rPr>
          <w:rFonts w:ascii="仿宋" w:hAnsi="仿宋" w:eastAsia="仿宋"/>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ascii="仿宋_GB2312" w:eastAsia="仿宋_GB2312"/>
          <w:color w:val="000000"/>
          <w:sz w:val="32"/>
          <w:szCs w:val="32"/>
        </w:rPr>
        <w:t>13.85</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277%</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13.85</w:t>
      </w:r>
      <w:r>
        <w:rPr>
          <w:rFonts w:hint="eastAsia" w:ascii="仿宋_GB2312" w:eastAsia="仿宋_GB2312"/>
          <w:color w:val="000000"/>
          <w:sz w:val="32"/>
          <w:szCs w:val="32"/>
        </w:rPr>
        <w:t>万元，增长</w:t>
      </w:r>
      <w:r>
        <w:rPr>
          <w:rFonts w:ascii="仿宋_GB2312" w:eastAsia="仿宋_GB2312"/>
          <w:color w:val="000000"/>
          <w:sz w:val="32"/>
          <w:szCs w:val="32"/>
        </w:rPr>
        <w:t>100%</w:t>
      </w:r>
      <w:r>
        <w:rPr>
          <w:rFonts w:hint="eastAsia" w:ascii="仿宋_GB2312" w:eastAsia="仿宋_GB2312"/>
          <w:color w:val="000000"/>
          <w:sz w:val="32"/>
          <w:szCs w:val="32"/>
        </w:rPr>
        <w:t>。主要原因是</w:t>
      </w:r>
      <w:r>
        <w:rPr>
          <w:rFonts w:hint="eastAsia" w:ascii="仿宋" w:hAnsi="仿宋" w:eastAsia="仿宋"/>
          <w:color w:val="000000"/>
          <w:sz w:val="32"/>
          <w:szCs w:val="32"/>
        </w:rPr>
        <w:t>因监委的成立，区检察院转隶四辆执勤执法用车，导致公务用车运行维护费较大。</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公务用车运行维护费支出</w:t>
      </w:r>
      <w:r>
        <w:rPr>
          <w:rFonts w:ascii="仿宋_GB2312" w:eastAsia="仿宋_GB2312"/>
          <w:color w:val="000000"/>
          <w:sz w:val="32"/>
          <w:szCs w:val="32"/>
        </w:rPr>
        <w:t>13.85</w:t>
      </w:r>
      <w:r>
        <w:rPr>
          <w:rFonts w:hint="eastAsia" w:ascii="仿宋_GB2312" w:eastAsia="仿宋_GB2312"/>
          <w:color w:val="000000"/>
          <w:sz w:val="32"/>
          <w:szCs w:val="32"/>
        </w:rPr>
        <w:t>万元。主要用于监督检查、执纪执法、办案等工作用车时发生的公务用车燃料费、维修费、过路过桥费、保险费等支出。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ascii="仿宋_GB2312" w:eastAsia="仿宋_GB2312"/>
          <w:color w:val="000000"/>
          <w:sz w:val="32"/>
          <w:szCs w:val="32"/>
        </w:rPr>
        <w:t>1.03</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ascii="仿宋" w:hAnsi="仿宋" w:eastAsia="仿宋"/>
          <w:b w:val="0"/>
          <w:bCs/>
          <w:color w:val="000000"/>
          <w:sz w:val="32"/>
          <w:szCs w:val="32"/>
        </w:rPr>
        <w:t>103%</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7年增加</w:t>
      </w:r>
      <w:r>
        <w:rPr>
          <w:rFonts w:ascii="仿宋_GB2312" w:eastAsia="仿宋_GB2312"/>
          <w:color w:val="000000"/>
          <w:sz w:val="32"/>
          <w:szCs w:val="32"/>
        </w:rPr>
        <w:t>0.48</w:t>
      </w:r>
      <w:r>
        <w:rPr>
          <w:rFonts w:hint="eastAsia" w:ascii="仿宋_GB2312" w:eastAsia="仿宋_GB2312"/>
          <w:color w:val="000000"/>
          <w:sz w:val="32"/>
          <w:szCs w:val="32"/>
        </w:rPr>
        <w:t>万元，增长</w:t>
      </w:r>
      <w:r>
        <w:rPr>
          <w:rFonts w:ascii="仿宋_GB2312" w:eastAsia="仿宋_GB2312"/>
          <w:color w:val="000000"/>
          <w:sz w:val="32"/>
          <w:szCs w:val="32"/>
        </w:rPr>
        <w:t>87%</w:t>
      </w:r>
      <w:r>
        <w:rPr>
          <w:rFonts w:hint="eastAsia" w:ascii="仿宋_GB2312" w:eastAsia="仿宋_GB2312"/>
          <w:color w:val="000000"/>
          <w:sz w:val="32"/>
          <w:szCs w:val="32"/>
        </w:rPr>
        <w:t>。主要原因是因监委的成立，上级部门来指导、检查工作较去年增多。</w:t>
      </w:r>
    </w:p>
    <w:p>
      <w:pPr>
        <w:spacing w:line="560" w:lineRule="exact"/>
        <w:ind w:firstLine="640"/>
        <w:rPr>
          <w:rFonts w:eastAsia="仿宋_GB2312"/>
          <w:b/>
          <w:color w:val="000000"/>
          <w:sz w:val="32"/>
          <w:szCs w:val="32"/>
        </w:rPr>
      </w:pPr>
      <w:r>
        <w:rPr>
          <w:rFonts w:hint="eastAsia" w:ascii="仿宋_GB2312" w:eastAsia="仿宋_GB2312"/>
          <w:color w:val="000000"/>
          <w:sz w:val="32"/>
          <w:szCs w:val="32"/>
        </w:rPr>
        <w:t>主要用于执行公务、开展业务活动开支的交通费、住宿费、用餐费等。国内公务接待</w:t>
      </w:r>
      <w:r>
        <w:rPr>
          <w:rFonts w:ascii="仿宋_GB2312" w:eastAsia="仿宋_GB2312"/>
          <w:color w:val="000000"/>
          <w:sz w:val="32"/>
          <w:szCs w:val="32"/>
        </w:rPr>
        <w:t>5</w:t>
      </w:r>
      <w:r>
        <w:rPr>
          <w:rFonts w:hint="eastAsia" w:ascii="仿宋_GB2312" w:eastAsia="仿宋_GB2312"/>
          <w:color w:val="000000"/>
          <w:sz w:val="32"/>
          <w:szCs w:val="32"/>
        </w:rPr>
        <w:t>批次，</w:t>
      </w:r>
      <w:r>
        <w:rPr>
          <w:rFonts w:ascii="仿宋_GB2312" w:eastAsia="仿宋_GB2312"/>
          <w:color w:val="000000"/>
          <w:sz w:val="32"/>
          <w:szCs w:val="32"/>
        </w:rPr>
        <w:t>52</w:t>
      </w:r>
      <w:r>
        <w:rPr>
          <w:rFonts w:hint="eastAsia" w:ascii="仿宋_GB2312" w:eastAsia="仿宋_GB2312"/>
          <w:color w:val="000000"/>
          <w:sz w:val="32"/>
          <w:szCs w:val="32"/>
        </w:rPr>
        <w:t>人次（不包括陪同人员），共计支出</w:t>
      </w:r>
      <w:r>
        <w:rPr>
          <w:rFonts w:ascii="仿宋_GB2312" w:eastAsia="仿宋_GB2312"/>
          <w:color w:val="000000"/>
          <w:sz w:val="32"/>
          <w:szCs w:val="32"/>
        </w:rPr>
        <w:t>1.03</w:t>
      </w:r>
      <w:r>
        <w:rPr>
          <w:rFonts w:hint="eastAsia" w:ascii="仿宋_GB2312" w:eastAsia="仿宋_GB2312"/>
          <w:color w:val="000000"/>
          <w:sz w:val="32"/>
          <w:szCs w:val="32"/>
        </w:rPr>
        <w:t>万元，</w:t>
      </w:r>
      <w:r>
        <w:rPr>
          <w:rFonts w:eastAsia="仿宋_GB2312"/>
          <w:color w:val="000000"/>
          <w:sz w:val="32"/>
          <w:szCs w:val="32"/>
        </w:rPr>
        <w:t>具体内容包括：党风廉政建设和反腐败工作调研、检查等。</w:t>
      </w:r>
    </w:p>
    <w:p>
      <w:pPr>
        <w:spacing w:line="600" w:lineRule="exact"/>
        <w:ind w:firstLine="640"/>
        <w:outlineLvl w:val="1"/>
        <w:rPr>
          <w:rStyle w:val="25"/>
          <w:rFonts w:ascii="黑体" w:hAnsi="黑体" w:eastAsia="黑体"/>
        </w:rPr>
      </w:pPr>
      <w:bookmarkStart w:id="50" w:name="_Toc15396610"/>
      <w:bookmarkStart w:id="51" w:name="_Toc15377218"/>
      <w:r>
        <w:rPr>
          <w:rFonts w:hint="eastAsia" w:ascii="黑体" w:eastAsia="黑体"/>
          <w:color w:val="000000"/>
          <w:sz w:val="32"/>
          <w:szCs w:val="32"/>
        </w:rPr>
        <w:t>八、</w:t>
      </w:r>
      <w:r>
        <w:rPr>
          <w:rStyle w:val="25"/>
          <w:rFonts w:hint="eastAsia" w:ascii="黑体" w:hAnsi="黑体" w:eastAsia="黑体"/>
          <w:b w:val="0"/>
        </w:rPr>
        <w:t>政府性基金预算支出决算情况说明</w:t>
      </w:r>
      <w:bookmarkEnd w:id="50"/>
      <w:bookmarkEnd w:id="51"/>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8年无政府性基金预算拨款支出。</w:t>
      </w:r>
    </w:p>
    <w:p>
      <w:pPr>
        <w:numPr>
          <w:ilvl w:val="0"/>
          <w:numId w:val="3"/>
        </w:numPr>
        <w:spacing w:line="600" w:lineRule="exact"/>
        <w:ind w:firstLine="640"/>
        <w:outlineLvl w:val="1"/>
        <w:rPr>
          <w:rStyle w:val="25"/>
          <w:rFonts w:ascii="黑体" w:hAnsi="黑体" w:eastAsia="黑体"/>
          <w:b w:val="0"/>
        </w:rPr>
      </w:pPr>
      <w:bookmarkStart w:id="52" w:name="_Toc15377219"/>
      <w:bookmarkStart w:id="53" w:name="_Toc15396611"/>
      <w:r>
        <w:rPr>
          <w:rStyle w:val="25"/>
          <w:rFonts w:hint="eastAsia" w:ascii="黑体" w:hAnsi="黑体" w:eastAsia="黑体"/>
          <w:b w:val="0"/>
        </w:rPr>
        <w:t>国有资本经营预算支出决算情况说明</w:t>
      </w:r>
      <w:bookmarkEnd w:id="52"/>
      <w:bookmarkEnd w:id="53"/>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8年无国有资本经营预算拨款支出。</w:t>
      </w:r>
    </w:p>
    <w:p>
      <w:pPr>
        <w:spacing w:line="580" w:lineRule="exact"/>
        <w:ind w:firstLine="800" w:firstLineChars="250"/>
        <w:rPr>
          <w:rStyle w:val="25"/>
          <w:rFonts w:ascii="黑体" w:hAnsi="黑体" w:eastAsia="黑体"/>
          <w:b w:val="0"/>
        </w:rPr>
      </w:pPr>
      <w:r>
        <w:rPr>
          <w:rStyle w:val="25"/>
          <w:rFonts w:hint="eastAsia" w:ascii="黑体" w:hAnsi="黑体" w:eastAsia="黑体"/>
          <w:b w:val="0"/>
        </w:rPr>
        <w:t>十、预算绩效情况说明</w:t>
      </w:r>
    </w:p>
    <w:p>
      <w:pPr>
        <w:numPr>
          <w:ilvl w:val="0"/>
          <w:numId w:val="4"/>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两项目开展了预算事前绩效评估，对两个项目编制了绩效目标，预算执行过程中，选取两个项目开展绩效监控，年终执行完毕后，对两个项目开展了绩效目标完成情况梳理填报。</w:t>
      </w:r>
    </w:p>
    <w:p>
      <w:pPr>
        <w:pStyle w:val="23"/>
        <w:numPr>
          <w:ilvl w:val="0"/>
          <w:numId w:val="4"/>
        </w:numPr>
        <w:spacing w:line="600" w:lineRule="atLeast"/>
        <w:ind w:firstLineChars="0"/>
        <w:rPr>
          <w:rFonts w:eastAsia="仿宋_GB2312"/>
          <w:b/>
          <w:color w:val="000000"/>
          <w:sz w:val="32"/>
          <w:szCs w:val="32"/>
        </w:rPr>
      </w:pPr>
      <w:r>
        <w:rPr>
          <w:rFonts w:eastAsia="仿宋_GB2312"/>
          <w:color w:val="000000"/>
          <w:sz w:val="32"/>
          <w:szCs w:val="32"/>
        </w:rPr>
        <w:t>按照预算绩效管理要求，本部门对2018年整体支出开展绩效自评，自评得分93分，存在的问题：一是</w:t>
      </w:r>
      <w:r>
        <w:rPr>
          <w:rFonts w:hint="eastAsia" w:eastAsia="仿宋_GB2312"/>
          <w:color w:val="000000"/>
          <w:sz w:val="32"/>
          <w:szCs w:val="32"/>
        </w:rPr>
        <w:t>绩效管理的规范性和科学性不足；</w:t>
      </w:r>
      <w:r>
        <w:rPr>
          <w:rFonts w:eastAsia="仿宋_GB2312"/>
          <w:color w:val="000000"/>
          <w:sz w:val="32"/>
          <w:szCs w:val="32"/>
        </w:rPr>
        <w:t>二是</w:t>
      </w:r>
      <w:r>
        <w:rPr>
          <w:rFonts w:hint="eastAsia" w:eastAsia="仿宋_GB2312"/>
          <w:color w:val="000000"/>
          <w:sz w:val="32"/>
          <w:szCs w:val="32"/>
        </w:rPr>
        <w:t>内控制度管理不够完善</w:t>
      </w:r>
      <w:r>
        <w:rPr>
          <w:rFonts w:eastAsia="仿宋_GB2312"/>
          <w:color w:val="000000"/>
          <w:sz w:val="32"/>
          <w:szCs w:val="32"/>
        </w:rPr>
        <w:t>。下一步改进措施：一是</w:t>
      </w:r>
      <w:r>
        <w:rPr>
          <w:rFonts w:hint="eastAsia" w:eastAsia="仿宋_GB2312"/>
          <w:color w:val="000000"/>
          <w:sz w:val="32"/>
          <w:szCs w:val="32"/>
        </w:rPr>
        <w:t>科学建立绩效管理体系，有效运用绩效评价结果；</w:t>
      </w:r>
      <w:r>
        <w:rPr>
          <w:rFonts w:eastAsia="仿宋_GB2312"/>
          <w:color w:val="000000"/>
          <w:sz w:val="32"/>
          <w:szCs w:val="32"/>
        </w:rPr>
        <w:t>二是</w:t>
      </w:r>
      <w:r>
        <w:rPr>
          <w:rFonts w:hint="eastAsia" w:eastAsia="仿宋_GB2312"/>
          <w:color w:val="000000"/>
          <w:sz w:val="32"/>
          <w:szCs w:val="32"/>
        </w:rPr>
        <w:t>加强内部管理制度，建立科学化管理体系</w:t>
      </w:r>
      <w:r>
        <w:rPr>
          <w:rFonts w:eastAsia="仿宋_GB2312"/>
          <w:color w:val="000000"/>
          <w:sz w:val="32"/>
          <w:szCs w:val="32"/>
        </w:rPr>
        <w:t>。</w:t>
      </w:r>
    </w:p>
    <w:p>
      <w:pPr>
        <w:numPr>
          <w:ilvl w:val="0"/>
          <w:numId w:val="5"/>
        </w:numPr>
        <w:tabs>
          <w:tab w:val="clear" w:pos="312"/>
        </w:tabs>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本部门在2018年度部门决算中反映“办案、纪律审查、党风廉政建设及巡察等专项经费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廉政风险平台建设”两个项目绩效目标实际完成情况。两项目绩效目标完成情况综述。项目全年预算数</w:t>
      </w:r>
      <w:r>
        <w:rPr>
          <w:rFonts w:ascii="仿宋_GB2312" w:hAnsi="仿宋_GB2312" w:eastAsia="仿宋_GB2312" w:cs="仿宋_GB2312"/>
          <w:sz w:val="32"/>
          <w:szCs w:val="32"/>
        </w:rPr>
        <w:t>282.58</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291.1</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103</w:t>
      </w:r>
      <w:r>
        <w:rPr>
          <w:rFonts w:hint="eastAsia" w:ascii="仿宋_GB2312" w:hAnsi="仿宋_GB2312" w:eastAsia="仿宋_GB2312" w:cs="仿宋_GB2312"/>
          <w:sz w:val="32"/>
          <w:szCs w:val="32"/>
        </w:rPr>
        <w:t>%。通过项目实施，构建起了作风建设长效机制。积极利用各类媒体、各种有效方式开展党风廉政建设宣传工作，提高宣传影响度。发挥党员领导干部的示范引领作用，激发群众监督正能量，让党风廉政建设和反腐败工作成效惠利于群众。</w:t>
      </w:r>
    </w:p>
    <w:p>
      <w:pPr>
        <w:numPr>
          <w:ilvl w:val="0"/>
          <w:numId w:val="5"/>
        </w:numPr>
        <w:tabs>
          <w:tab w:val="clear" w:pos="312"/>
        </w:tabs>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“办案、纪律审查、党风廉政建设及巡察等专项经费”项目绩效目标完成情况综述。项目全年预算数</w:t>
      </w:r>
      <w:r>
        <w:rPr>
          <w:rFonts w:ascii="仿宋_GB2312" w:hAnsi="仿宋_GB2312" w:eastAsia="仿宋_GB2312" w:cs="仿宋_GB2312"/>
          <w:sz w:val="32"/>
          <w:szCs w:val="32"/>
        </w:rPr>
        <w:t>166.38</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186.52</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112</w:t>
      </w:r>
      <w:r>
        <w:rPr>
          <w:rFonts w:hint="eastAsia" w:ascii="仿宋_GB2312" w:hAnsi="仿宋_GB2312" w:eastAsia="仿宋_GB2312" w:cs="仿宋_GB2312"/>
          <w:sz w:val="32"/>
          <w:szCs w:val="32"/>
        </w:rPr>
        <w:t>%。通过项目实施，构建起了作风建设长效机制。积极利用各类媒体、各种有效方式开展党风廉政建设宣传工作，提高宣传影响度。发挥党员领导干部的示范引领作用，激发群众监督正能量，让党风廉政建设和反腐败工作成效惠利于群众。</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廉政风险平台建设”项目绩效目标完成情况综述。项目全年预算数</w:t>
      </w:r>
      <w:r>
        <w:rPr>
          <w:rFonts w:ascii="仿宋_GB2312" w:hAnsi="仿宋_GB2312" w:eastAsia="仿宋_GB2312" w:cs="仿宋_GB2312"/>
          <w:sz w:val="32"/>
          <w:szCs w:val="32"/>
        </w:rPr>
        <w:t>116.2</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104.58</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90</w:t>
      </w:r>
      <w:r>
        <w:rPr>
          <w:rFonts w:hint="eastAsia" w:ascii="仿宋_GB2312" w:hAnsi="仿宋_GB2312" w:eastAsia="仿宋_GB2312" w:cs="仿宋_GB2312"/>
          <w:sz w:val="32"/>
          <w:szCs w:val="32"/>
        </w:rPr>
        <w:t>%（剩余的1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%为质保金，等一年质保到期验收合格再进行支付）。通过项目实施，改变传统的“人盯人”式的监督为“电脑盯人”、“制度盯人”，提高监督的针对性和有效性。</w:t>
      </w: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p>
      <w:pPr>
        <w:tabs>
          <w:tab w:val="left" w:pos="312"/>
        </w:tabs>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项目支出绩效目标完成情况表1</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办案、纪律审查、党风廉政建设及巡察等专项经费</w:t>
            </w:r>
          </w:p>
        </w:tc>
      </w:tr>
      <w:tr>
        <w:tblPrEx>
          <w:tblLayout w:type="fixed"/>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区纪委</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66.38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86.52</w:t>
            </w:r>
          </w:p>
        </w:tc>
      </w:tr>
      <w:tr>
        <w:tblPrEx>
          <w:tblLayout w:type="fixed"/>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66.38</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86.52</w:t>
            </w:r>
          </w:p>
        </w:tc>
      </w:tr>
      <w:tr>
        <w:tblPrEx>
          <w:tblLayout w:type="fixed"/>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Layout w:type="fixed"/>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紧紧围绕党的领导、党的建设、全面从严治党、党风廉政建设和反腐败斗争，紧紧围绕维护党中央权威和集中统一领导，推动党内政治生态实现根本好转，履行党章赋予的监督执纪问责职责，建设忠诚干净担当的纪检监察队伍，为决胜全面建成小康社会、夺取新时代中国特色社会主义伟大胜利提供坚强保证。</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加强党的领导、党的建设、全面从严治党、党风廉政建设和反腐败斗争，紧紧围绕维护党中央权威和集中统一领导，推动党内政治生态实现根本好转，履行党章赋予的监督执纪问责职责，建设忠诚干净担当的纪检监察队伍，为决胜全面建成小康社会、夺取新时代中国特色社会主义伟大胜利提供坚强保证。</w:t>
            </w:r>
          </w:p>
        </w:tc>
      </w:tr>
      <w:tr>
        <w:tblPrEx>
          <w:tblLayout w:type="fixed"/>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全年开展专项监督检查不少于4次，定期不定期开展明察暗访；深化党性党风党纪教育，按计划开展巡察工作。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全年开展了专项监督检查6次，定期不定期开展明察暗访；深化党性党风党纪教育，巡察工作按计划完成。</w:t>
            </w:r>
          </w:p>
        </w:tc>
      </w:tr>
      <w:tr>
        <w:tblPrEx>
          <w:tblLayout w:type="fixed"/>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规范办理信访举报,当年的信访件办结率到达到90%以上;当年立案移送审理的案件，结案率达到90%以上。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当年的信访件办结率到达到9</w:t>
            </w:r>
            <w:r>
              <w:rPr>
                <w:rFonts w:ascii="宋体" w:hAnsi="宋体" w:cs="宋体"/>
                <w:color w:val="000000"/>
                <w:sz w:val="24"/>
              </w:rPr>
              <w:t>2</w:t>
            </w:r>
            <w:r>
              <w:rPr>
                <w:rFonts w:hint="eastAsia" w:ascii="宋体" w:hAnsi="宋体" w:cs="宋体"/>
                <w:color w:val="000000"/>
                <w:sz w:val="24"/>
              </w:rPr>
              <w:t>%;当年立案移送审理的案件，结案率达到9</w:t>
            </w:r>
            <w:r>
              <w:rPr>
                <w:rFonts w:ascii="宋体" w:hAnsi="宋体" w:cs="宋体"/>
                <w:color w:val="000000"/>
                <w:sz w:val="24"/>
              </w:rPr>
              <w:t>1</w:t>
            </w:r>
            <w:r>
              <w:rPr>
                <w:rFonts w:hint="eastAsia" w:ascii="宋体" w:hAnsi="宋体" w:cs="宋体"/>
                <w:color w:val="000000"/>
                <w:sz w:val="24"/>
              </w:rPr>
              <w:t>%。</w:t>
            </w:r>
          </w:p>
        </w:tc>
      </w:tr>
    </w:tbl>
    <w:p>
      <w:pPr>
        <w:rPr>
          <w:rFonts w:ascii="Calibri" w:hAnsi="Calibri"/>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77"/>
        <w:gridCol w:w="1319"/>
        <w:gridCol w:w="990"/>
        <w:gridCol w:w="2308"/>
        <w:gridCol w:w="2310"/>
        <w:gridCol w:w="2308"/>
        <w:gridCol w:w="348"/>
      </w:tblGrid>
      <w:tr>
        <w:tblPrEx>
          <w:tblLayout w:type="fixed"/>
          <w:tblCellMar>
            <w:top w:w="0" w:type="dxa"/>
            <w:left w:w="0" w:type="dxa"/>
            <w:bottom w:w="0" w:type="dxa"/>
            <w:right w:w="0" w:type="dxa"/>
          </w:tblCellMar>
        </w:tblPrEx>
        <w:trPr>
          <w:gridAfter w:val="1"/>
          <w:wAfter w:w="348" w:type="dxa"/>
          <w:trHeight w:val="1034" w:hRule="atLeast"/>
        </w:trPr>
        <w:tc>
          <w:tcPr>
            <w:tcW w:w="9612" w:type="dxa"/>
            <w:gridSpan w:val="6"/>
            <w:tcMar>
              <w:top w:w="15" w:type="dxa"/>
              <w:left w:w="15" w:type="dxa"/>
              <w:bottom w:w="0" w:type="dxa"/>
              <w:right w:w="15" w:type="dxa"/>
            </w:tcMar>
            <w:vAlign w:val="center"/>
          </w:tcPr>
          <w:p>
            <w:pPr>
              <w:pStyle w:val="23"/>
              <w:widowControl/>
              <w:ind w:left="4173" w:leftChars="1310" w:hanging="1422" w:hangingChars="395"/>
              <w:textAlignment w:val="center"/>
              <w:rPr>
                <w:rFonts w:ascii="黑体" w:hAnsi="黑体" w:eastAsia="黑体" w:cs="宋体"/>
                <w:bCs/>
                <w:color w:val="000000"/>
                <w:kern w:val="0"/>
                <w:sz w:val="36"/>
                <w:szCs w:val="36"/>
              </w:rPr>
            </w:pPr>
            <w:r>
              <w:rPr>
                <w:rFonts w:hint="eastAsia" w:ascii="黑体" w:hAnsi="黑体" w:eastAsia="黑体" w:cs="宋体"/>
                <w:bCs/>
                <w:color w:val="000000"/>
                <w:kern w:val="0"/>
                <w:sz w:val="36"/>
                <w:szCs w:val="36"/>
              </w:rPr>
              <w:t>项目支出绩效目标完成情况表</w:t>
            </w:r>
            <w:r>
              <w:rPr>
                <w:rFonts w:ascii="黑体" w:hAnsi="黑体" w:eastAsia="黑体" w:cs="宋体"/>
                <w:bCs/>
                <w:color w:val="000000"/>
                <w:kern w:val="0"/>
                <w:sz w:val="36"/>
                <w:szCs w:val="36"/>
              </w:rPr>
              <w:t>2</w:t>
            </w:r>
          </w:p>
          <w:p>
            <w:pPr>
              <w:pStyle w:val="23"/>
              <w:widowControl/>
              <w:ind w:left="4171" w:leftChars="1952" w:hanging="72" w:hangingChars="20"/>
              <w:textAlignment w:val="center"/>
              <w:rPr>
                <w:rFonts w:ascii="宋体" w:hAnsi="宋体" w:cs="宋体"/>
                <w:color w:val="000000"/>
                <w:sz w:val="36"/>
                <w:szCs w:val="36"/>
              </w:rPr>
            </w:pPr>
            <w:r>
              <w:rPr>
                <w:rFonts w:hint="eastAsia" w:ascii="宋体" w:hAnsi="宋体" w:cs="宋体"/>
                <w:color w:val="000000"/>
                <w:kern w:val="0"/>
                <w:sz w:val="36"/>
                <w:szCs w:val="36"/>
              </w:rPr>
              <w:t>(2018 年度)</w:t>
            </w:r>
          </w:p>
        </w:tc>
      </w:tr>
      <w:tr>
        <w:tblPrEx>
          <w:tblLayout w:type="fixed"/>
          <w:tblCellMar>
            <w:top w:w="0" w:type="dxa"/>
            <w:left w:w="0" w:type="dxa"/>
            <w:bottom w:w="0" w:type="dxa"/>
            <w:right w:w="0" w:type="dxa"/>
          </w:tblCellMar>
        </w:tblPrEx>
        <w:trPr>
          <w:gridAfter w:val="1"/>
          <w:wAfter w:w="348" w:type="dxa"/>
          <w:trHeight w:val="276" w:hRule="atLeast"/>
        </w:trPr>
        <w:tc>
          <w:tcPr>
            <w:tcW w:w="26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692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廉政风险平台建设</w:t>
            </w:r>
          </w:p>
        </w:tc>
      </w:tr>
      <w:tr>
        <w:tblPrEx>
          <w:tblLayout w:type="fixed"/>
          <w:tblCellMar>
            <w:top w:w="0" w:type="dxa"/>
            <w:left w:w="0" w:type="dxa"/>
            <w:bottom w:w="0" w:type="dxa"/>
            <w:right w:w="0" w:type="dxa"/>
          </w:tblCellMar>
        </w:tblPrEx>
        <w:trPr>
          <w:gridAfter w:val="1"/>
          <w:wAfter w:w="348" w:type="dxa"/>
          <w:trHeight w:val="276" w:hRule="atLeast"/>
        </w:trPr>
        <w:tc>
          <w:tcPr>
            <w:tcW w:w="268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6926"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区纪委</w:t>
            </w:r>
          </w:p>
        </w:tc>
      </w:tr>
      <w:tr>
        <w:tblPrEx>
          <w:tblLayout w:type="fixed"/>
          <w:tblCellMar>
            <w:top w:w="0" w:type="dxa"/>
            <w:left w:w="0" w:type="dxa"/>
            <w:bottom w:w="0" w:type="dxa"/>
            <w:right w:w="0" w:type="dxa"/>
          </w:tblCellMar>
        </w:tblPrEx>
        <w:trPr>
          <w:gridAfter w:val="1"/>
          <w:wAfter w:w="348" w:type="dxa"/>
          <w:trHeight w:val="276" w:hRule="atLeast"/>
        </w:trPr>
        <w:tc>
          <w:tcPr>
            <w:tcW w:w="37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116.2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104.58</w:t>
            </w:r>
          </w:p>
        </w:tc>
      </w:tr>
      <w:tr>
        <w:tblPrEx>
          <w:tblLayout w:type="fixed"/>
          <w:tblCellMar>
            <w:top w:w="0" w:type="dxa"/>
            <w:left w:w="0" w:type="dxa"/>
            <w:bottom w:w="0" w:type="dxa"/>
            <w:right w:w="0" w:type="dxa"/>
          </w:tblCellMar>
        </w:tblPrEx>
        <w:trPr>
          <w:gridAfter w:val="1"/>
          <w:wAfter w:w="348" w:type="dxa"/>
          <w:trHeight w:val="276" w:hRule="atLeast"/>
        </w:trPr>
        <w:tc>
          <w:tcPr>
            <w:tcW w:w="3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116.2</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ascii="宋体" w:hAnsi="宋体" w:cs="宋体"/>
                <w:color w:val="000000"/>
                <w:sz w:val="24"/>
              </w:rPr>
              <w:t>104.58</w:t>
            </w:r>
          </w:p>
        </w:tc>
      </w:tr>
      <w:tr>
        <w:tblPrEx>
          <w:tblLayout w:type="fixed"/>
          <w:tblCellMar>
            <w:top w:w="0" w:type="dxa"/>
            <w:left w:w="0" w:type="dxa"/>
            <w:bottom w:w="0" w:type="dxa"/>
            <w:right w:w="0" w:type="dxa"/>
          </w:tblCellMar>
        </w:tblPrEx>
        <w:trPr>
          <w:gridAfter w:val="1"/>
          <w:wAfter w:w="348" w:type="dxa"/>
          <w:trHeight w:val="1491" w:hRule="atLeast"/>
        </w:trPr>
        <w:tc>
          <w:tcPr>
            <w:tcW w:w="3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09"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Layout w:type="fixed"/>
          <w:tblCellMar>
            <w:top w:w="0" w:type="dxa"/>
            <w:left w:w="0" w:type="dxa"/>
            <w:bottom w:w="0" w:type="dxa"/>
            <w:right w:w="0" w:type="dxa"/>
          </w:tblCellMar>
        </w:tblPrEx>
        <w:trPr>
          <w:gridAfter w:val="1"/>
          <w:wAfter w:w="348" w:type="dxa"/>
          <w:trHeight w:val="276" w:hRule="atLeast"/>
        </w:trPr>
        <w:tc>
          <w:tcPr>
            <w:tcW w:w="37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6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6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706" w:hRule="atLeast"/>
        </w:trPr>
        <w:tc>
          <w:tcPr>
            <w:tcW w:w="3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617"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通过廉政风险防控平台使用实现风险防控智能化、防控工作规范化和风险预警及时化。</w:t>
            </w:r>
          </w:p>
        </w:tc>
        <w:tc>
          <w:tcPr>
            <w:tcW w:w="4618"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廉政风险防控平台以建成并投入运行</w:t>
            </w:r>
          </w:p>
        </w:tc>
        <w:tc>
          <w:tcPr>
            <w:tcW w:w="348" w:type="dxa"/>
          </w:tcPr>
          <w:p>
            <w:pPr>
              <w:widowControl/>
              <w:jc w:val="left"/>
              <w:rPr>
                <w:rFonts w:ascii="宋体" w:hAnsi="宋体" w:cs="宋体"/>
                <w:color w:val="000000"/>
                <w:sz w:val="24"/>
              </w:rPr>
            </w:pPr>
            <w:r>
              <w:rPr>
                <w:rFonts w:hint="eastAsia" w:ascii="宋体" w:hAnsi="宋体" w:cs="宋体"/>
                <w:color w:val="000000"/>
                <w:sz w:val="24"/>
              </w:rPr>
              <w:t>。</w:t>
            </w:r>
          </w:p>
        </w:tc>
      </w:tr>
      <w:tr>
        <w:tblPrEx>
          <w:tblLayout w:type="fixed"/>
          <w:tblCellMar>
            <w:top w:w="0" w:type="dxa"/>
            <w:left w:w="0" w:type="dxa"/>
            <w:bottom w:w="0" w:type="dxa"/>
            <w:right w:w="0" w:type="dxa"/>
          </w:tblCellMar>
        </w:tblPrEx>
        <w:trPr>
          <w:gridAfter w:val="1"/>
          <w:wAfter w:w="348" w:type="dxa"/>
          <w:trHeight w:val="1042" w:hRule="atLeast"/>
        </w:trPr>
        <w:tc>
          <w:tcPr>
            <w:tcW w:w="37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gridAfter w:val="1"/>
          <w:wAfter w:w="348" w:type="dxa"/>
          <w:trHeight w:val="953" w:hRule="atLeast"/>
        </w:trPr>
        <w:tc>
          <w:tcPr>
            <w:tcW w:w="3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预计配备服务器等相关设备。</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已配备到位。</w:t>
            </w:r>
          </w:p>
        </w:tc>
      </w:tr>
      <w:tr>
        <w:tblPrEx>
          <w:tblLayout w:type="fixed"/>
          <w:tblCellMar>
            <w:top w:w="0" w:type="dxa"/>
            <w:left w:w="0" w:type="dxa"/>
            <w:bottom w:w="0" w:type="dxa"/>
            <w:right w:w="0" w:type="dxa"/>
          </w:tblCellMar>
        </w:tblPrEx>
        <w:trPr>
          <w:gridAfter w:val="1"/>
          <w:wAfter w:w="348" w:type="dxa"/>
          <w:trHeight w:val="1297" w:hRule="atLeast"/>
        </w:trPr>
        <w:tc>
          <w:tcPr>
            <w:tcW w:w="37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99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改变传统的“人盯人”式的监督为“电脑盯人”、“制度盯人”，提高监督的针对性和有效性。</w:t>
            </w:r>
          </w:p>
        </w:tc>
        <w:tc>
          <w:tcPr>
            <w:tcW w:w="231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08"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试运行阶段，成效显著。</w:t>
            </w:r>
          </w:p>
        </w:tc>
      </w:tr>
    </w:tbl>
    <w:p>
      <w:pPr>
        <w:spacing w:line="580" w:lineRule="exact"/>
        <w:rPr>
          <w:rFonts w:ascii="仿宋_GB2312" w:hAnsi="仿宋_GB2312" w:eastAsia="仿宋_GB2312" w:cs="仿宋_GB2312"/>
          <w:sz w:val="32"/>
          <w:szCs w:val="32"/>
        </w:rPr>
      </w:pPr>
    </w:p>
    <w:p>
      <w:pPr>
        <w:spacing w:line="580" w:lineRule="exact"/>
        <w:jc w:val="center"/>
        <w:rPr>
          <w:rFonts w:ascii="方正小标宋简体" w:hAnsi="方正小标宋简体" w:eastAsia="方正小标宋简体" w:cs="方正小标宋简体"/>
          <w:sz w:val="44"/>
          <w:szCs w:val="44"/>
        </w:rPr>
      </w:pP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5"/>
          <w:rFonts w:ascii="黑体" w:hAnsi="黑体" w:eastAsia="黑体"/>
        </w:rPr>
      </w:pPr>
      <w:bookmarkStart w:id="54" w:name="_Toc15396612"/>
      <w:bookmarkStart w:id="55" w:name="_Toc15377221"/>
      <w:r>
        <w:rPr>
          <w:rFonts w:hint="eastAsia" w:ascii="黑体" w:hAnsi="黑体" w:eastAsia="黑体"/>
          <w:color w:val="000000"/>
          <w:sz w:val="32"/>
          <w:szCs w:val="32"/>
        </w:rPr>
        <w:t>十</w:t>
      </w:r>
      <w:r>
        <w:rPr>
          <w:rStyle w:val="25"/>
          <w:rFonts w:hint="eastAsia" w:ascii="黑体" w:hAnsi="黑体" w:eastAsia="黑体"/>
        </w:rPr>
        <w:t>一、</w:t>
      </w:r>
      <w:r>
        <w:rPr>
          <w:rStyle w:val="25"/>
          <w:rFonts w:hint="eastAsia" w:ascii="黑体" w:hAnsi="黑体" w:eastAsia="黑体"/>
          <w:b w:val="0"/>
        </w:rPr>
        <w:t>其他重要事项的情况说明</w:t>
      </w:r>
      <w:bookmarkEnd w:id="54"/>
      <w:bookmarkEnd w:id="55"/>
    </w:p>
    <w:p>
      <w:pPr>
        <w:spacing w:line="600" w:lineRule="exact"/>
        <w:ind w:firstLine="643" w:firstLineChars="200"/>
        <w:outlineLvl w:val="2"/>
        <w:rPr>
          <w:rFonts w:ascii="仿宋" w:hAnsi="仿宋" w:eastAsia="仿宋"/>
          <w:color w:val="000000"/>
          <w:sz w:val="32"/>
          <w:szCs w:val="32"/>
        </w:rPr>
      </w:pPr>
      <w:bookmarkStart w:id="56" w:name="_Toc15377222"/>
      <w:r>
        <w:rPr>
          <w:rFonts w:hint="eastAsia" w:ascii="仿宋" w:hAnsi="仿宋" w:eastAsia="仿宋"/>
          <w:b/>
          <w:color w:val="000000"/>
          <w:sz w:val="32"/>
          <w:szCs w:val="32"/>
        </w:rPr>
        <w:t>（一）机关运行经费支出情况</w:t>
      </w:r>
      <w:bookmarkEnd w:id="56"/>
    </w:p>
    <w:p>
      <w:pPr>
        <w:spacing w:line="600" w:lineRule="exact"/>
        <w:ind w:firstLine="640" w:firstLineChars="200"/>
        <w:rPr>
          <w:rFonts w:ascii="仿宋" w:hAnsi="仿宋" w:eastAsia="仿宋"/>
          <w:b/>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8年，区纪委机关运行经费支出</w:t>
      </w:r>
      <w:r>
        <w:rPr>
          <w:rFonts w:ascii="仿宋_GB2312" w:eastAsia="仿宋_GB2312"/>
          <w:color w:val="000000"/>
          <w:sz w:val="32"/>
          <w:szCs w:val="32"/>
        </w:rPr>
        <w:t>260.63</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7年增加3</w:t>
      </w:r>
      <w:r>
        <w:rPr>
          <w:rFonts w:ascii="仿宋_GB2312" w:eastAsia="仿宋_GB2312"/>
          <w:color w:val="000000"/>
          <w:sz w:val="32"/>
          <w:szCs w:val="32"/>
        </w:rPr>
        <w:t>8.04</w:t>
      </w:r>
      <w:r>
        <w:rPr>
          <w:rFonts w:hint="eastAsia" w:ascii="仿宋_GB2312" w:eastAsia="仿宋_GB2312"/>
          <w:color w:val="000000"/>
          <w:sz w:val="32"/>
          <w:szCs w:val="32"/>
        </w:rPr>
        <w:t>万元，增长1</w:t>
      </w:r>
      <w:r>
        <w:rPr>
          <w:rFonts w:ascii="仿宋_GB2312" w:eastAsia="仿宋_GB2312"/>
          <w:color w:val="000000"/>
          <w:sz w:val="32"/>
          <w:szCs w:val="32"/>
        </w:rPr>
        <w:t>7%</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主要原因是人员增加，机关运行费增加。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7" w:name="_Toc15377223"/>
      <w:r>
        <w:rPr>
          <w:rFonts w:hint="eastAsia" w:ascii="仿宋" w:hAnsi="仿宋" w:eastAsia="仿宋"/>
          <w:b/>
          <w:color w:val="000000"/>
          <w:sz w:val="32"/>
          <w:szCs w:val="32"/>
        </w:rPr>
        <w:t>（二）政府采购支出情况</w:t>
      </w:r>
      <w:bookmarkEnd w:id="57"/>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8年，区纪委政府采购支出总额</w:t>
      </w:r>
      <w:r>
        <w:rPr>
          <w:rFonts w:ascii="仿宋_GB2312" w:eastAsia="仿宋_GB2312"/>
          <w:color w:val="000000"/>
          <w:sz w:val="32"/>
          <w:szCs w:val="32"/>
        </w:rPr>
        <w:t>104.58</w:t>
      </w:r>
      <w:r>
        <w:rPr>
          <w:rFonts w:hint="eastAsia" w:ascii="仿宋_GB2312" w:eastAsia="仿宋_GB2312"/>
          <w:color w:val="000000"/>
          <w:sz w:val="32"/>
          <w:szCs w:val="32"/>
        </w:rPr>
        <w:t>万元，其中：政府采购设备支出</w:t>
      </w:r>
      <w:r>
        <w:rPr>
          <w:rFonts w:ascii="仿宋_GB2312" w:eastAsia="仿宋_GB2312"/>
          <w:color w:val="000000"/>
          <w:sz w:val="32"/>
          <w:szCs w:val="32"/>
        </w:rPr>
        <w:t>104.58</w:t>
      </w:r>
      <w:r>
        <w:rPr>
          <w:rFonts w:hint="eastAsia" w:ascii="仿宋_GB2312" w:eastAsia="仿宋_GB2312"/>
          <w:color w:val="000000"/>
          <w:sz w:val="32"/>
          <w:szCs w:val="32"/>
        </w:rPr>
        <w:t>万元。主要用于廉政风险防控平台的建设。授予中小企业合同金额</w:t>
      </w:r>
      <w:r>
        <w:rPr>
          <w:rFonts w:ascii="仿宋_GB2312" w:eastAsia="仿宋_GB2312"/>
          <w:color w:val="000000"/>
          <w:sz w:val="32"/>
          <w:szCs w:val="32"/>
        </w:rPr>
        <w:t>104.58</w:t>
      </w:r>
      <w:r>
        <w:rPr>
          <w:rFonts w:hint="eastAsia" w:ascii="仿宋_GB2312" w:eastAsia="仿宋_GB2312"/>
          <w:color w:val="000000"/>
          <w:sz w:val="32"/>
          <w:szCs w:val="32"/>
        </w:rPr>
        <w:t>万元，占政府采购支出总额的</w:t>
      </w:r>
      <w:r>
        <w:rPr>
          <w:rFonts w:ascii="仿宋_GB2312" w:eastAsia="仿宋_GB2312"/>
          <w:color w:val="000000"/>
          <w:sz w:val="32"/>
          <w:szCs w:val="32"/>
        </w:rPr>
        <w:t>100%</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8" w:name="_Toc15377224"/>
      <w:r>
        <w:rPr>
          <w:rFonts w:hint="eastAsia" w:ascii="仿宋" w:hAnsi="仿宋" w:eastAsia="仿宋"/>
          <w:b/>
          <w:color w:val="000000"/>
          <w:sz w:val="32"/>
          <w:szCs w:val="32"/>
        </w:rPr>
        <w:t>（三）国有资产占有使用情况</w:t>
      </w:r>
      <w:bookmarkEnd w:id="58"/>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日，区纪委共有车辆六辆，其中：一般执法执勤用车六辆；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万元以上通用设备无，单价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万元以上专用设备无。</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6"/>
        </w:numPr>
        <w:spacing w:line="600" w:lineRule="exact"/>
        <w:ind w:firstLine="663" w:firstLineChars="150"/>
        <w:jc w:val="center"/>
        <w:outlineLvl w:val="0"/>
        <w:rPr>
          <w:rStyle w:val="24"/>
          <w:rFonts w:ascii="黑体" w:hAnsi="黑体" w:eastAsia="黑体"/>
          <w:b w:val="0"/>
        </w:rPr>
      </w:pPr>
      <w:bookmarkStart w:id="59" w:name="_Toc15396613"/>
      <w:bookmarkStart w:id="60" w:name="_Toc15377225"/>
      <w:r>
        <w:rPr>
          <w:rFonts w:hint="eastAsia" w:ascii="黑体" w:hAnsi="黑体" w:eastAsia="黑体"/>
          <w:b/>
          <w:color w:val="000000"/>
          <w:sz w:val="44"/>
          <w:szCs w:val="44"/>
        </w:rPr>
        <w:t>名</w:t>
      </w:r>
      <w:r>
        <w:rPr>
          <w:rStyle w:val="24"/>
          <w:rFonts w:hint="eastAsia" w:ascii="黑体" w:hAnsi="黑体" w:eastAsia="黑体"/>
          <w:b w:val="0"/>
        </w:rPr>
        <w:t>词解释</w:t>
      </w:r>
      <w:bookmarkEnd w:id="59"/>
      <w:bookmarkEnd w:id="60"/>
    </w:p>
    <w:p>
      <w:pPr>
        <w:spacing w:line="600" w:lineRule="exact"/>
        <w:jc w:val="left"/>
        <w:rPr>
          <w:rFonts w:ascii="宋体"/>
          <w:b/>
          <w:color w:val="000000"/>
          <w:sz w:val="44"/>
          <w:szCs w:val="44"/>
        </w:rPr>
      </w:pPr>
    </w:p>
    <w:p>
      <w:pPr>
        <w:pStyle w:val="22"/>
        <w:spacing w:line="560" w:lineRule="exact"/>
        <w:ind w:firstLine="640" w:firstLineChars="200"/>
        <w:rPr>
          <w:rFonts w:ascii="Times New Roman" w:hAnsi="Times New Roman" w:eastAsia="仿宋_GB2312" w:cs="Times New Roman"/>
          <w:sz w:val="32"/>
          <w:szCs w:val="32"/>
        </w:rPr>
      </w:pPr>
      <w:bookmarkStart w:id="61" w:name="_Toc15396614"/>
      <w:bookmarkStart w:id="62" w:name="_Toc15377226"/>
      <w:r>
        <w:rPr>
          <w:rFonts w:ascii="Times New Roman" w:hAnsi="Times New Roman" w:eastAsia="仿宋_GB2312" w:cs="Times New Roman"/>
          <w:sz w:val="32"/>
          <w:szCs w:val="32"/>
        </w:rPr>
        <w:t xml:space="preserve">1.财政拨款收入：指省级财政当年拨付的资金。 </w:t>
      </w:r>
    </w:p>
    <w:p>
      <w:pPr>
        <w:pStyle w:val="22"/>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2.事业收入：指事业单位开展专业业务活动及辅助活动所取得的收入</w:t>
      </w:r>
    </w:p>
    <w:p>
      <w:pPr>
        <w:pStyle w:val="22"/>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3.经营收入：指事业单位在专业业务活动及其辅助活动之外开展非独立核算经营活动取得的收入。</w:t>
      </w:r>
    </w:p>
    <w:p>
      <w:pPr>
        <w:pStyle w:val="22"/>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4.其他收入：指除上述“财政拨款收入”、“事业收入”、“经营收入”等以外的收入。 </w:t>
      </w:r>
    </w:p>
    <w:p>
      <w:pPr>
        <w:pStyle w:val="22"/>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2"/>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6.年初结转和结余：指以前年度尚未完成、结转到本年按有关规定继续使用的资金。 </w:t>
      </w:r>
    </w:p>
    <w:p>
      <w:pPr>
        <w:ind w:firstLine="640" w:firstLineChars="200"/>
        <w:rPr>
          <w:rFonts w:eastAsia="仿宋_GB2312"/>
          <w:color w:val="000000"/>
          <w:sz w:val="32"/>
          <w:szCs w:val="32"/>
        </w:rPr>
      </w:pPr>
      <w:r>
        <w:rPr>
          <w:rFonts w:eastAsia="仿宋_GB2312"/>
          <w:color w:val="000000"/>
          <w:sz w:val="32"/>
          <w:szCs w:val="32"/>
        </w:rPr>
        <w:t>7.一般公共服务20111指纪检监察事务，其中2011101指行政运行，2011102指一般行政管理事务，2011150指事业运行。</w:t>
      </w:r>
    </w:p>
    <w:p>
      <w:pPr>
        <w:ind w:firstLine="640" w:firstLineChars="200"/>
        <w:rPr>
          <w:rFonts w:eastAsia="仿宋_GB2312"/>
          <w:color w:val="000000"/>
          <w:sz w:val="32"/>
          <w:szCs w:val="32"/>
        </w:rPr>
      </w:pPr>
      <w:r>
        <w:rPr>
          <w:rFonts w:eastAsia="仿宋_GB2312"/>
          <w:color w:val="000000"/>
          <w:sz w:val="32"/>
          <w:szCs w:val="32"/>
        </w:rPr>
        <w:t>8.社会保障和就业20805指行政事业单位离退休，2080504指未归口管理的行政单位离退休,2082505指机关事业单位基本养老保险缴费支出。</w:t>
      </w:r>
    </w:p>
    <w:p>
      <w:pPr>
        <w:spacing w:line="600" w:lineRule="exact"/>
        <w:ind w:firstLine="640"/>
        <w:rPr>
          <w:rFonts w:eastAsia="仿宋_GB2312"/>
          <w:b/>
          <w:i/>
          <w:color w:val="404040"/>
          <w:sz w:val="32"/>
          <w:szCs w:val="32"/>
        </w:rPr>
      </w:pPr>
      <w:r>
        <w:rPr>
          <w:rFonts w:eastAsia="仿宋_GB2312"/>
          <w:color w:val="000000"/>
          <w:sz w:val="32"/>
          <w:szCs w:val="32"/>
        </w:rPr>
        <w:t>9.住房保障支出22102指住房改革支出，2210201指  住房公积金。</w:t>
      </w:r>
    </w:p>
    <w:p>
      <w:pPr>
        <w:ind w:firstLine="640" w:firstLineChars="200"/>
        <w:rPr>
          <w:rFonts w:eastAsia="仿宋_GB2312"/>
          <w:color w:val="000000"/>
          <w:sz w:val="32"/>
          <w:szCs w:val="32"/>
        </w:rPr>
      </w:pPr>
      <w:r>
        <w:rPr>
          <w:rFonts w:eastAsia="仿宋_GB2312"/>
          <w:color w:val="000000"/>
          <w:sz w:val="32"/>
          <w:szCs w:val="32"/>
        </w:rPr>
        <w:t>10.结余分配：指事业单位按规定提取的职工福利基金、事业基金和缴纳的所得税，以及建设单位按规定应交回的基本建设竣工项目结余资金。</w:t>
      </w:r>
    </w:p>
    <w:p>
      <w:pPr>
        <w:ind w:firstLine="640" w:firstLineChars="200"/>
        <w:rPr>
          <w:rFonts w:eastAsia="仿宋_GB2312"/>
          <w:color w:val="000000"/>
          <w:sz w:val="32"/>
          <w:szCs w:val="32"/>
        </w:rPr>
      </w:pPr>
      <w:r>
        <w:rPr>
          <w:rFonts w:eastAsia="仿宋_GB2312"/>
          <w:color w:val="000000"/>
          <w:sz w:val="32"/>
          <w:szCs w:val="32"/>
        </w:rPr>
        <w:t>11.年末结转和结余：指本年度或以前年度预算安排、因客观条件发生变化无法按原计划实施，需延迟到以后年度按有关规定继续使用的资金。</w:t>
      </w:r>
    </w:p>
    <w:p>
      <w:pPr>
        <w:ind w:firstLine="640" w:firstLineChars="200"/>
        <w:rPr>
          <w:rFonts w:eastAsia="仿宋_GB2312"/>
          <w:color w:val="000000"/>
          <w:sz w:val="32"/>
          <w:szCs w:val="32"/>
        </w:rPr>
      </w:pPr>
      <w:r>
        <w:rPr>
          <w:rFonts w:eastAsia="仿宋_GB2312"/>
          <w:color w:val="000000"/>
          <w:sz w:val="32"/>
          <w:szCs w:val="32"/>
        </w:rPr>
        <w:t>12.基本支出：指为保障机构正常运转、完成日常工作任务而发生的人员支出和公用支出。</w:t>
      </w:r>
    </w:p>
    <w:p>
      <w:pPr>
        <w:ind w:firstLine="640" w:firstLineChars="200"/>
        <w:rPr>
          <w:rFonts w:eastAsia="仿宋_GB2312"/>
          <w:color w:val="000000"/>
          <w:sz w:val="32"/>
          <w:szCs w:val="32"/>
        </w:rPr>
      </w:pPr>
      <w:r>
        <w:rPr>
          <w:rFonts w:eastAsia="仿宋_GB2312"/>
          <w:color w:val="000000"/>
          <w:sz w:val="32"/>
          <w:szCs w:val="32"/>
        </w:rPr>
        <w:t xml:space="preserve">13.项目支出：指在基本支出之外为完成特定行政任务和事业发展目标所发生的支出。 </w:t>
      </w:r>
    </w:p>
    <w:p>
      <w:pPr>
        <w:ind w:firstLine="640" w:firstLineChars="200"/>
        <w:rPr>
          <w:rFonts w:eastAsia="仿宋_GB2312"/>
          <w:color w:val="000000"/>
          <w:sz w:val="32"/>
          <w:szCs w:val="32"/>
        </w:rPr>
      </w:pPr>
      <w:r>
        <w:rPr>
          <w:rFonts w:eastAsia="仿宋_GB2312"/>
          <w:color w:val="000000"/>
          <w:sz w:val="32"/>
          <w:szCs w:val="32"/>
        </w:rPr>
        <w:t>14.经营支出：指事业单位在专业业务活动及其辅助活动之外开展非独立核算经营活动发生的支出。</w:t>
      </w:r>
    </w:p>
    <w:p>
      <w:pPr>
        <w:pStyle w:val="22"/>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15.“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2"/>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eastAsia="仿宋_GB2312"/>
          <w:b/>
          <w:color w:val="000000"/>
          <w:sz w:val="32"/>
          <w:szCs w:val="32"/>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24"/>
          <w:rFonts w:ascii="黑体" w:hAnsi="黑体" w:eastAsia="黑体"/>
          <w:b w:val="0"/>
        </w:rPr>
      </w:pPr>
      <w:r>
        <w:rPr>
          <w:rFonts w:hint="eastAsia" w:ascii="黑体" w:hAnsi="黑体" w:eastAsia="黑体"/>
          <w:color w:val="000000"/>
          <w:sz w:val="44"/>
          <w:szCs w:val="44"/>
        </w:rPr>
        <w:t>第</w:t>
      </w:r>
      <w:r>
        <w:rPr>
          <w:rStyle w:val="24"/>
          <w:rFonts w:hint="eastAsia" w:ascii="黑体" w:hAnsi="黑体" w:eastAsia="黑体"/>
          <w:b w:val="0"/>
        </w:rPr>
        <w:t>四部分 附件</w:t>
      </w:r>
      <w:bookmarkEnd w:id="61"/>
    </w:p>
    <w:p>
      <w:pPr>
        <w:spacing w:line="600" w:lineRule="exact"/>
        <w:jc w:val="center"/>
        <w:outlineLvl w:val="0"/>
        <w:rPr>
          <w:rStyle w:val="24"/>
        </w:rPr>
      </w:pPr>
    </w:p>
    <w:p>
      <w:pPr>
        <w:pStyle w:val="3"/>
        <w:rPr>
          <w:rStyle w:val="24"/>
          <w:rFonts w:ascii="仿宋" w:hAnsi="仿宋" w:eastAsia="仿宋"/>
          <w:b w:val="0"/>
          <w:bCs w:val="0"/>
          <w:sz w:val="32"/>
          <w:szCs w:val="32"/>
        </w:rPr>
      </w:pPr>
      <w:bookmarkStart w:id="63" w:name="_Toc15396615"/>
      <w:r>
        <w:rPr>
          <w:rStyle w:val="24"/>
          <w:rFonts w:hint="eastAsia" w:ascii="仿宋" w:hAnsi="仿宋" w:eastAsia="仿宋"/>
          <w:b w:val="0"/>
          <w:bCs w:val="0"/>
          <w:sz w:val="32"/>
          <w:szCs w:val="32"/>
        </w:rPr>
        <w:t>附件1</w:t>
      </w:r>
      <w:bookmarkEnd w:id="63"/>
    </w:p>
    <w:p>
      <w:pPr>
        <w:spacing w:line="600" w:lineRule="exact"/>
        <w:jc w:val="center"/>
        <w:outlineLvl w:val="0"/>
        <w:rPr>
          <w:rFonts w:ascii="黑体" w:hAnsi="黑体" w:eastAsia="黑体" w:cs="方正小标宋简体"/>
          <w:sz w:val="36"/>
          <w:szCs w:val="36"/>
        </w:rPr>
      </w:pPr>
      <w:bookmarkStart w:id="64" w:name="_Toc15396616"/>
      <w:r>
        <w:rPr>
          <w:rFonts w:hint="eastAsia" w:ascii="黑体" w:hAnsi="黑体" w:eastAsia="黑体" w:cs="方正小标宋简体"/>
          <w:sz w:val="36"/>
          <w:szCs w:val="36"/>
        </w:rPr>
        <w:t>区纪委2018年部门整体支出绩效评价报告</w:t>
      </w:r>
      <w:bookmarkEnd w:id="64"/>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5"/>
        <w:rPr>
          <w:rFonts w:ascii="仿宋" w:hAnsi="仿宋" w:eastAsia="仿宋" w:cs="仿宋_GB2312"/>
          <w:sz w:val="32"/>
          <w:szCs w:val="32"/>
        </w:rPr>
      </w:pPr>
      <w:r>
        <w:rPr>
          <w:rFonts w:hint="eastAsia" w:ascii="仿宋_GB2312" w:eastAsia="仿宋_GB2312"/>
          <w:sz w:val="32"/>
          <w:szCs w:val="32"/>
        </w:rPr>
        <w:t>2018年</w:t>
      </w:r>
      <w:r>
        <w:rPr>
          <w:rFonts w:ascii="仿宋_GB2312" w:eastAsia="仿宋_GB2312"/>
          <w:sz w:val="32"/>
          <w:szCs w:val="32"/>
        </w:rPr>
        <w:t>年初完成区监委组建挂牌，与区纪委合署办公，内部机构共设9室2部。</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pacing w:line="560" w:lineRule="exact"/>
        <w:ind w:firstLine="640" w:firstLineChars="200"/>
        <w:rPr>
          <w:rFonts w:ascii="仿宋" w:hAnsi="仿宋" w:eastAsia="仿宋"/>
          <w:bCs/>
          <w:color w:val="000000"/>
          <w:sz w:val="32"/>
          <w:szCs w:val="32"/>
        </w:rPr>
      </w:pPr>
      <w:r>
        <w:rPr>
          <w:rFonts w:eastAsia="仿宋_GB2312"/>
          <w:color w:val="000000"/>
          <w:kern w:val="0"/>
          <w:sz w:val="32"/>
          <w:szCs w:val="32"/>
        </w:rPr>
        <w:t>中共攀枝花市仁和区纪委和攀枝花市仁和区监</w:t>
      </w:r>
      <w:r>
        <w:rPr>
          <w:rFonts w:hint="eastAsia" w:eastAsia="仿宋_GB2312"/>
          <w:color w:val="000000"/>
          <w:kern w:val="0"/>
          <w:sz w:val="32"/>
          <w:szCs w:val="32"/>
        </w:rPr>
        <w:t>委</w:t>
      </w:r>
      <w:r>
        <w:rPr>
          <w:rFonts w:eastAsia="仿宋_GB2312"/>
          <w:color w:val="000000"/>
          <w:kern w:val="0"/>
          <w:sz w:val="32"/>
          <w:szCs w:val="32"/>
        </w:rPr>
        <w:t>合署办公，履行党的纪律检查和政府监察职能，主管全区党的纪律检查和公职人员监督监察工作。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5"/>
        <w:rPr>
          <w:rFonts w:ascii="仿宋" w:hAnsi="仿宋" w:eastAsia="仿宋" w:cs="仿宋_GB2312"/>
          <w:sz w:val="32"/>
          <w:szCs w:val="32"/>
        </w:rPr>
      </w:pPr>
      <w:r>
        <w:rPr>
          <w:rFonts w:hint="eastAsia" w:ascii="仿宋_GB2312" w:eastAsia="仿宋_GB2312"/>
          <w:sz w:val="32"/>
          <w:szCs w:val="32"/>
        </w:rPr>
        <w:t>我单位属仁和区行政编制单位，编制总人数共27人。其中：行政编制23人、事业编制4人，实有在职人数为25人。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600" w:lineRule="exact"/>
        <w:ind w:firstLine="640" w:firstLineChars="200"/>
        <w:outlineLvl w:val="1"/>
        <w:rPr>
          <w:rFonts w:ascii="仿宋" w:hAnsi="仿宋" w:eastAsia="仿宋" w:cs="仿宋_GB2312"/>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w:t>
      </w:r>
      <w:r>
        <w:rPr>
          <w:rFonts w:ascii="仿宋" w:hAnsi="仿宋" w:eastAsia="仿宋"/>
          <w:color w:val="000000"/>
          <w:sz w:val="32"/>
          <w:szCs w:val="32"/>
        </w:rPr>
        <w:t>826.79</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826.79</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w:t>
      </w:r>
      <w:r>
        <w:rPr>
          <w:rFonts w:ascii="仿宋" w:hAnsi="仿宋" w:eastAsia="仿宋"/>
          <w:color w:val="000000"/>
          <w:sz w:val="32"/>
          <w:szCs w:val="32"/>
        </w:rPr>
        <w:t>843.68</w:t>
      </w:r>
      <w:r>
        <w:rPr>
          <w:rFonts w:hint="eastAsia" w:ascii="仿宋" w:hAnsi="仿宋" w:eastAsia="仿宋"/>
          <w:color w:val="000000"/>
          <w:sz w:val="32"/>
          <w:szCs w:val="32"/>
        </w:rPr>
        <w:t>万元，其中：基本支出</w:t>
      </w:r>
      <w:r>
        <w:rPr>
          <w:rFonts w:ascii="仿宋" w:hAnsi="仿宋" w:eastAsia="仿宋"/>
          <w:color w:val="000000"/>
          <w:sz w:val="32"/>
          <w:szCs w:val="32"/>
        </w:rPr>
        <w:t>552.58</w:t>
      </w:r>
      <w:r>
        <w:rPr>
          <w:rFonts w:hint="eastAsia" w:ascii="仿宋" w:hAnsi="仿宋" w:eastAsia="仿宋"/>
          <w:color w:val="000000"/>
          <w:sz w:val="32"/>
          <w:szCs w:val="32"/>
        </w:rPr>
        <w:t>万元，占</w:t>
      </w:r>
      <w:r>
        <w:rPr>
          <w:rFonts w:ascii="仿宋" w:hAnsi="仿宋" w:eastAsia="仿宋"/>
          <w:color w:val="000000"/>
          <w:sz w:val="32"/>
          <w:szCs w:val="32"/>
        </w:rPr>
        <w:t>65%</w:t>
      </w:r>
      <w:r>
        <w:rPr>
          <w:rFonts w:hint="eastAsia" w:ascii="仿宋" w:hAnsi="仿宋" w:eastAsia="仿宋"/>
          <w:color w:val="000000"/>
          <w:sz w:val="32"/>
          <w:szCs w:val="32"/>
        </w:rPr>
        <w:t>；项目支出</w:t>
      </w:r>
      <w:r>
        <w:rPr>
          <w:rFonts w:ascii="仿宋" w:hAnsi="仿宋" w:eastAsia="仿宋"/>
          <w:color w:val="000000"/>
          <w:sz w:val="32"/>
          <w:szCs w:val="32"/>
        </w:rPr>
        <w:t>291.1</w:t>
      </w:r>
      <w:r>
        <w:rPr>
          <w:rFonts w:hint="eastAsia" w:ascii="仿宋" w:hAnsi="仿宋" w:eastAsia="仿宋"/>
          <w:color w:val="000000"/>
          <w:sz w:val="32"/>
          <w:szCs w:val="32"/>
        </w:rPr>
        <w:t>万元，占</w:t>
      </w:r>
      <w:r>
        <w:rPr>
          <w:rFonts w:ascii="仿宋" w:hAnsi="仿宋" w:eastAsia="仿宋"/>
          <w:color w:val="000000"/>
          <w:sz w:val="32"/>
          <w:szCs w:val="32"/>
        </w:rPr>
        <w:t>35%</w:t>
      </w:r>
      <w:r>
        <w:rPr>
          <w:rFonts w:hint="eastAsia" w:ascii="仿宋" w:hAnsi="仿宋" w:eastAsia="仿宋"/>
          <w:color w:val="000000"/>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w:t>
      </w:r>
      <w:r>
        <w:rPr>
          <w:rFonts w:ascii="仿宋" w:hAnsi="仿宋" w:eastAsia="仿宋" w:cs="仿宋_GB2312"/>
          <w:sz w:val="32"/>
          <w:szCs w:val="32"/>
        </w:rPr>
        <w:t>部门</w:t>
      </w:r>
      <w:r>
        <w:rPr>
          <w:rFonts w:hint="eastAsia" w:ascii="仿宋" w:hAnsi="仿宋" w:eastAsia="仿宋" w:cs="仿宋_GB2312"/>
          <w:sz w:val="32"/>
          <w:szCs w:val="32"/>
        </w:rPr>
        <w:t>预算编制的</w:t>
      </w:r>
      <w:r>
        <w:rPr>
          <w:rFonts w:ascii="仿宋" w:hAnsi="仿宋" w:eastAsia="仿宋" w:cs="仿宋_GB2312"/>
          <w:sz w:val="32"/>
          <w:szCs w:val="32"/>
        </w:rPr>
        <w:t>绩效目标</w:t>
      </w:r>
      <w:r>
        <w:rPr>
          <w:rFonts w:hint="eastAsia" w:ascii="仿宋" w:hAnsi="仿宋" w:eastAsia="仿宋" w:cs="仿宋_GB2312"/>
          <w:sz w:val="32"/>
          <w:szCs w:val="32"/>
        </w:rPr>
        <w:t>是高举中国特色社会主义伟大旗帜，以习近平新时代中国特色社会主义思想为指导，全面落实十九大作出的战略部署，统筹推进“五位一体”总体布局和协调推进“四个全面”战略布局，增强“四个意识”、坚定“四个自信”，不忘初心、牢记使命，紧紧围绕党的领导、党的建设、全面从严治党、党风廉政建设和反腐败斗争，紧紧围绕维护党中央权威和集中统一领导，推动党内政治生态实现根本好转，履行党章赋予的监督执纪问责职责，建设忠诚干净担当的纪检监察队伍，为决胜全面建成小康社会、夺取新时代中国特色社会主义伟大胜利提供坚强保证。</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本部门根据实际情况，经严格测算、层层把关，编制了两个专项，到年底项目完成情况良好，有一个项目因今年工作量的增加，经费略有超支，总体情况较好</w:t>
      </w:r>
      <w:r>
        <w:rPr>
          <w:rFonts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区纪委</w:t>
      </w:r>
      <w:r>
        <w:rPr>
          <w:rFonts w:ascii="仿宋" w:hAnsi="仿宋" w:eastAsia="仿宋" w:cs="仿宋_GB2312"/>
          <w:sz w:val="32"/>
          <w:szCs w:val="32"/>
        </w:rPr>
        <w:t>部门自评质量</w:t>
      </w:r>
      <w:r>
        <w:rPr>
          <w:rFonts w:hint="eastAsia" w:ascii="仿宋" w:hAnsi="仿宋" w:eastAsia="仿宋" w:cs="仿宋_GB2312"/>
          <w:sz w:val="32"/>
          <w:szCs w:val="32"/>
        </w:rPr>
        <w:t>较好，</w:t>
      </w:r>
      <w:r>
        <w:rPr>
          <w:rFonts w:ascii="仿宋" w:hAnsi="仿宋" w:eastAsia="仿宋" w:cs="仿宋_GB2312"/>
          <w:sz w:val="32"/>
          <w:szCs w:val="32"/>
        </w:rPr>
        <w:t>、绩效目标公开</w:t>
      </w:r>
      <w:r>
        <w:rPr>
          <w:rFonts w:hint="eastAsia" w:ascii="仿宋" w:hAnsi="仿宋" w:eastAsia="仿宋" w:cs="仿宋_GB2312"/>
          <w:sz w:val="32"/>
          <w:szCs w:val="32"/>
        </w:rPr>
        <w:t>年初已经进行了公开，</w:t>
      </w:r>
      <w:r>
        <w:rPr>
          <w:rFonts w:ascii="仿宋" w:hAnsi="仿宋" w:eastAsia="仿宋" w:cs="仿宋_GB2312"/>
          <w:sz w:val="32"/>
          <w:szCs w:val="32"/>
        </w:rPr>
        <w:t>自评</w:t>
      </w:r>
      <w:r>
        <w:rPr>
          <w:rFonts w:hint="eastAsia" w:ascii="仿宋" w:hAnsi="仿宋" w:eastAsia="仿宋" w:cs="仿宋_GB2312"/>
          <w:sz w:val="32"/>
          <w:szCs w:val="32"/>
        </w:rPr>
        <w:t>也已</w:t>
      </w:r>
      <w:r>
        <w:rPr>
          <w:rFonts w:ascii="仿宋" w:hAnsi="仿宋" w:eastAsia="仿宋" w:cs="仿宋_GB2312"/>
          <w:sz w:val="32"/>
          <w:szCs w:val="32"/>
        </w:rPr>
        <w:t>公开、</w:t>
      </w:r>
      <w:r>
        <w:rPr>
          <w:rFonts w:hint="eastAsia" w:ascii="仿宋" w:hAnsi="仿宋" w:eastAsia="仿宋" w:cs="仿宋_GB2312"/>
          <w:sz w:val="32"/>
          <w:szCs w:val="32"/>
        </w:rPr>
        <w:t>社会</w:t>
      </w:r>
      <w:r>
        <w:rPr>
          <w:rFonts w:ascii="仿宋" w:hAnsi="仿宋" w:eastAsia="仿宋" w:cs="仿宋_GB2312"/>
          <w:sz w:val="32"/>
          <w:szCs w:val="32"/>
        </w:rPr>
        <w:t>评价结果</w:t>
      </w:r>
      <w:r>
        <w:rPr>
          <w:rFonts w:hint="eastAsia" w:ascii="仿宋" w:hAnsi="仿宋" w:eastAsia="仿宋" w:cs="仿宋_GB2312"/>
          <w:sz w:val="32"/>
          <w:szCs w:val="32"/>
        </w:rPr>
        <w:t>较好，</w:t>
      </w:r>
      <w:r>
        <w:rPr>
          <w:rFonts w:ascii="仿宋" w:hAnsi="仿宋" w:eastAsia="仿宋" w:cs="仿宋_GB2312"/>
          <w:sz w:val="32"/>
          <w:szCs w:val="32"/>
        </w:rPr>
        <w:t>反馈</w:t>
      </w:r>
      <w:r>
        <w:rPr>
          <w:rFonts w:hint="eastAsia" w:ascii="仿宋" w:hAnsi="仿宋" w:eastAsia="仿宋" w:cs="仿宋_GB2312"/>
          <w:sz w:val="32"/>
          <w:szCs w:val="32"/>
        </w:rPr>
        <w:t>意见良好</w:t>
      </w:r>
      <w:r>
        <w:rPr>
          <w:rFonts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pStyle w:val="23"/>
        <w:spacing w:line="600" w:lineRule="atLeast"/>
        <w:ind w:left="420" w:firstLine="320" w:firstLineChars="100"/>
        <w:rPr>
          <w:rFonts w:ascii="仿宋" w:hAnsi="仿宋" w:eastAsia="仿宋" w:cs="仿宋_GB2312"/>
          <w:sz w:val="32"/>
          <w:szCs w:val="32"/>
        </w:rPr>
      </w:pPr>
      <w:r>
        <w:rPr>
          <w:rFonts w:hint="eastAsia" w:eastAsia="仿宋_GB2312"/>
          <w:color w:val="000000"/>
          <w:sz w:val="32"/>
          <w:szCs w:val="32"/>
        </w:rPr>
        <w:t>总体评价良好</w:t>
      </w:r>
      <w:r>
        <w:rPr>
          <w:rFonts w:eastAsia="仿宋_GB2312"/>
          <w:color w:val="000000"/>
          <w:sz w:val="32"/>
          <w:szCs w:val="32"/>
        </w:rPr>
        <w:t>。</w:t>
      </w:r>
    </w:p>
    <w:p>
      <w:pPr>
        <w:pStyle w:val="23"/>
        <w:numPr>
          <w:ilvl w:val="0"/>
          <w:numId w:val="7"/>
        </w:numPr>
        <w:spacing w:line="580" w:lineRule="exact"/>
        <w:ind w:firstLineChars="0"/>
        <w:rPr>
          <w:rFonts w:ascii="仿宋" w:hAnsi="仿宋" w:eastAsia="仿宋" w:cs="仿宋_GB2312"/>
          <w:sz w:val="32"/>
          <w:szCs w:val="32"/>
        </w:rPr>
      </w:pPr>
      <w:r>
        <w:rPr>
          <w:rFonts w:ascii="仿宋" w:hAnsi="仿宋" w:eastAsia="仿宋" w:cs="仿宋_GB2312"/>
          <w:sz w:val="32"/>
          <w:szCs w:val="32"/>
        </w:rPr>
        <w:t>存在问题。</w:t>
      </w:r>
    </w:p>
    <w:p>
      <w:pPr>
        <w:pStyle w:val="23"/>
        <w:spacing w:line="600" w:lineRule="atLeast"/>
        <w:ind w:left="320" w:firstLine="528" w:firstLineChars="165"/>
        <w:rPr>
          <w:rFonts w:ascii="仿宋" w:hAnsi="仿宋" w:eastAsia="仿宋" w:cs="仿宋_GB2312"/>
          <w:sz w:val="32"/>
          <w:szCs w:val="32"/>
        </w:rPr>
      </w:pPr>
      <w:r>
        <w:rPr>
          <w:rFonts w:eastAsia="仿宋_GB2312"/>
          <w:color w:val="000000"/>
          <w:sz w:val="32"/>
          <w:szCs w:val="32"/>
        </w:rPr>
        <w:t>一是</w:t>
      </w:r>
      <w:r>
        <w:rPr>
          <w:rFonts w:hint="eastAsia" w:eastAsia="仿宋_GB2312"/>
          <w:color w:val="000000"/>
          <w:sz w:val="32"/>
          <w:szCs w:val="32"/>
        </w:rPr>
        <w:t>绩效管理的规范性和科学性不足；</w:t>
      </w:r>
      <w:r>
        <w:rPr>
          <w:rFonts w:eastAsia="仿宋_GB2312"/>
          <w:color w:val="000000"/>
          <w:sz w:val="32"/>
          <w:szCs w:val="32"/>
        </w:rPr>
        <w:t>二是</w:t>
      </w:r>
      <w:r>
        <w:rPr>
          <w:rFonts w:hint="eastAsia" w:eastAsia="仿宋_GB2312"/>
          <w:color w:val="000000"/>
          <w:sz w:val="32"/>
          <w:szCs w:val="32"/>
        </w:rPr>
        <w:t>内控制度管理不够完善</w:t>
      </w:r>
      <w:r>
        <w:rPr>
          <w:rFonts w:eastAsia="仿宋_GB2312"/>
          <w:color w:val="000000"/>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仿宋_GB2312" w:eastAsia="仿宋_GB2312" w:cs="仿宋_GB2312"/>
          <w:sz w:val="32"/>
          <w:szCs w:val="32"/>
        </w:rPr>
      </w:pPr>
      <w:r>
        <w:rPr>
          <w:rFonts w:eastAsia="仿宋_GB2312"/>
          <w:color w:val="000000"/>
          <w:sz w:val="32"/>
          <w:szCs w:val="32"/>
        </w:rPr>
        <w:t>一是</w:t>
      </w:r>
      <w:r>
        <w:rPr>
          <w:rFonts w:hint="eastAsia" w:eastAsia="仿宋_GB2312"/>
          <w:color w:val="000000"/>
          <w:sz w:val="32"/>
          <w:szCs w:val="32"/>
        </w:rPr>
        <w:t>科学建立绩效管理体系，有效运用绩效评价结果；</w:t>
      </w:r>
      <w:r>
        <w:rPr>
          <w:rFonts w:eastAsia="仿宋_GB2312"/>
          <w:color w:val="000000"/>
          <w:sz w:val="32"/>
          <w:szCs w:val="32"/>
        </w:rPr>
        <w:t>二是</w:t>
      </w:r>
      <w:r>
        <w:rPr>
          <w:rFonts w:hint="eastAsia" w:eastAsia="仿宋_GB2312"/>
          <w:color w:val="000000"/>
          <w:sz w:val="32"/>
          <w:szCs w:val="32"/>
        </w:rPr>
        <w:t>加强内部管理制度，建立科学化管理体系</w:t>
      </w:r>
      <w:r>
        <w:rPr>
          <w:rFonts w:eastAsia="仿宋_GB2312"/>
          <w:color w:val="000000"/>
          <w:sz w:val="32"/>
          <w:szCs w:val="32"/>
        </w:rPr>
        <w:t>。</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4"/>
          <w:rFonts w:ascii="仿宋" w:hAnsi="仿宋" w:eastAsia="仿宋"/>
          <w:b w:val="0"/>
          <w:bCs w:val="0"/>
          <w:sz w:val="32"/>
          <w:szCs w:val="32"/>
        </w:rPr>
      </w:pPr>
      <w:bookmarkStart w:id="65" w:name="_Toc15396617"/>
      <w:r>
        <w:rPr>
          <w:rStyle w:val="24"/>
          <w:rFonts w:hint="eastAsia" w:ascii="仿宋" w:hAnsi="仿宋" w:eastAsia="仿宋"/>
          <w:b w:val="0"/>
          <w:bCs w:val="0"/>
          <w:sz w:val="32"/>
          <w:szCs w:val="32"/>
        </w:rPr>
        <w:t>附件2</w:t>
      </w:r>
      <w:bookmarkEnd w:id="65"/>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2018年“办案、纪律审查、党风廉政建设及巡察等专项经费”项目</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该项目是在区纪委监委年初任务目标的基础上，根据全年需要开展的各项工作，严格控制经费，层层把关，层层审核，最终确定的</w:t>
      </w:r>
      <w:r>
        <w:rPr>
          <w:rFonts w:ascii="仿宋" w:hAnsi="仿宋" w:eastAsia="仿宋" w:cs="仿宋_GB2312"/>
          <w:sz w:val="32"/>
          <w:szCs w:val="32"/>
        </w:rPr>
        <w:t>项目</w:t>
      </w:r>
      <w:r>
        <w:rPr>
          <w:rFonts w:hint="eastAsia"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w:t>
      </w:r>
      <w:r>
        <w:rPr>
          <w:rFonts w:hint="eastAsia" w:ascii="仿宋" w:hAnsi="仿宋" w:eastAsia="仿宋" w:cs="仿宋_GB2312"/>
          <w:sz w:val="32"/>
          <w:szCs w:val="32"/>
        </w:rPr>
        <w:t>是完成情况良好，得分9</w:t>
      </w:r>
      <w:r>
        <w:rPr>
          <w:rFonts w:ascii="仿宋" w:hAnsi="仿宋" w:eastAsia="仿宋" w:cs="仿宋_GB2312"/>
          <w:sz w:val="32"/>
          <w:szCs w:val="32"/>
        </w:rPr>
        <w:t>5</w:t>
      </w:r>
      <w:r>
        <w:rPr>
          <w:rFonts w:hint="eastAsia" w:ascii="仿宋" w:hAnsi="仿宋" w:eastAsia="仿宋" w:cs="仿宋_GB2312"/>
          <w:sz w:val="32"/>
          <w:szCs w:val="32"/>
        </w:rPr>
        <w:t>分。</w:t>
      </w:r>
    </w:p>
    <w:p>
      <w:pPr>
        <w:spacing w:line="580" w:lineRule="exact"/>
        <w:ind w:firstLine="640" w:firstLineChars="200"/>
        <w:rPr>
          <w:rFonts w:ascii="仿宋" w:hAnsi="仿宋" w:eastAsia="仿宋" w:cs="仿宋_GB2312"/>
          <w:sz w:val="32"/>
          <w:szCs w:val="32"/>
        </w:rPr>
      </w:pPr>
    </w:p>
    <w:p>
      <w:pPr>
        <w:jc w:val="center"/>
        <w:rPr>
          <w:rFonts w:eastAsia="黑体"/>
          <w:color w:val="000000"/>
          <w:sz w:val="32"/>
          <w:szCs w:val="32"/>
        </w:rPr>
      </w:pPr>
      <w:r>
        <w:rPr>
          <w:rFonts w:eastAsia="黑体"/>
          <w:color w:val="000000"/>
          <w:sz w:val="32"/>
          <w:szCs w:val="32"/>
        </w:rPr>
        <w:t>2018年项目支出绩效评价得分表</w:t>
      </w:r>
      <w:r>
        <w:rPr>
          <w:rFonts w:hint="eastAsia" w:eastAsia="黑体"/>
          <w:color w:val="000000"/>
          <w:sz w:val="32"/>
          <w:szCs w:val="32"/>
        </w:rPr>
        <w:t>1</w:t>
      </w:r>
    </w:p>
    <w:tbl>
      <w:tblPr>
        <w:tblStyle w:val="12"/>
        <w:tblW w:w="9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113"/>
        <w:gridCol w:w="3535"/>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618" w:type="dxa"/>
            <w:vAlign w:val="center"/>
          </w:tcPr>
          <w:p>
            <w:pPr>
              <w:widowControl/>
              <w:spacing w:line="260" w:lineRule="exact"/>
              <w:jc w:val="center"/>
              <w:rPr>
                <w:b/>
                <w:bCs/>
                <w:color w:val="000000"/>
                <w:kern w:val="0"/>
                <w:sz w:val="20"/>
                <w:szCs w:val="20"/>
              </w:rPr>
            </w:pPr>
            <w:r>
              <w:rPr>
                <w:b/>
                <w:bCs/>
                <w:color w:val="000000"/>
                <w:kern w:val="0"/>
                <w:sz w:val="20"/>
                <w:szCs w:val="20"/>
              </w:rPr>
              <w:t>单位名称/</w:t>
            </w:r>
          </w:p>
          <w:p>
            <w:pPr>
              <w:widowControl/>
              <w:spacing w:line="260" w:lineRule="exact"/>
              <w:jc w:val="center"/>
              <w:rPr>
                <w:b/>
                <w:bCs/>
                <w:color w:val="000000"/>
                <w:kern w:val="0"/>
                <w:sz w:val="20"/>
                <w:szCs w:val="20"/>
              </w:rPr>
            </w:pPr>
            <w:r>
              <w:rPr>
                <w:b/>
                <w:bCs/>
                <w:color w:val="000000"/>
                <w:kern w:val="0"/>
                <w:sz w:val="20"/>
                <w:szCs w:val="20"/>
              </w:rPr>
              <w:t>项目名称</w:t>
            </w:r>
          </w:p>
        </w:tc>
        <w:tc>
          <w:tcPr>
            <w:tcW w:w="8270" w:type="dxa"/>
            <w:gridSpan w:val="4"/>
            <w:vAlign w:val="center"/>
          </w:tcPr>
          <w:p>
            <w:pPr>
              <w:widowControl/>
              <w:spacing w:line="260" w:lineRule="exact"/>
              <w:jc w:val="center"/>
              <w:rPr>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1618" w:type="dxa"/>
            <w:vAlign w:val="center"/>
          </w:tcPr>
          <w:p>
            <w:pPr>
              <w:widowControl/>
              <w:spacing w:line="260" w:lineRule="exact"/>
              <w:jc w:val="center"/>
              <w:rPr>
                <w:b/>
                <w:bCs/>
                <w:color w:val="000000"/>
                <w:kern w:val="0"/>
                <w:sz w:val="20"/>
                <w:szCs w:val="20"/>
              </w:rPr>
            </w:pPr>
            <w:r>
              <w:rPr>
                <w:b/>
                <w:bCs/>
                <w:color w:val="000000"/>
                <w:kern w:val="0"/>
                <w:sz w:val="20"/>
                <w:szCs w:val="20"/>
              </w:rPr>
              <w:t>一级</w:t>
            </w:r>
          </w:p>
          <w:p>
            <w:pPr>
              <w:widowControl/>
              <w:spacing w:line="260" w:lineRule="exact"/>
              <w:jc w:val="center"/>
              <w:rPr>
                <w:b/>
                <w:bCs/>
                <w:color w:val="000000"/>
                <w:kern w:val="0"/>
                <w:sz w:val="20"/>
                <w:szCs w:val="20"/>
              </w:rPr>
            </w:pPr>
            <w:r>
              <w:rPr>
                <w:b/>
                <w:bCs/>
                <w:color w:val="000000"/>
                <w:kern w:val="0"/>
                <w:sz w:val="20"/>
                <w:szCs w:val="20"/>
              </w:rPr>
              <w:t>指标</w:t>
            </w:r>
          </w:p>
        </w:tc>
        <w:tc>
          <w:tcPr>
            <w:tcW w:w="2113" w:type="dxa"/>
            <w:vAlign w:val="center"/>
          </w:tcPr>
          <w:p>
            <w:pPr>
              <w:widowControl/>
              <w:spacing w:line="260" w:lineRule="exact"/>
              <w:jc w:val="center"/>
              <w:rPr>
                <w:b/>
                <w:bCs/>
                <w:color w:val="000000"/>
                <w:kern w:val="0"/>
                <w:sz w:val="20"/>
                <w:szCs w:val="20"/>
              </w:rPr>
            </w:pPr>
            <w:r>
              <w:rPr>
                <w:b/>
                <w:bCs/>
                <w:color w:val="000000"/>
                <w:kern w:val="0"/>
                <w:sz w:val="20"/>
                <w:szCs w:val="20"/>
              </w:rPr>
              <w:t>二级</w:t>
            </w:r>
          </w:p>
          <w:p>
            <w:pPr>
              <w:widowControl/>
              <w:spacing w:line="260" w:lineRule="exact"/>
              <w:jc w:val="center"/>
              <w:rPr>
                <w:b/>
                <w:bCs/>
                <w:color w:val="000000"/>
                <w:kern w:val="0"/>
                <w:sz w:val="20"/>
                <w:szCs w:val="20"/>
              </w:rPr>
            </w:pPr>
            <w:r>
              <w:rPr>
                <w:b/>
                <w:bCs/>
                <w:color w:val="000000"/>
                <w:kern w:val="0"/>
                <w:sz w:val="20"/>
                <w:szCs w:val="20"/>
              </w:rPr>
              <w:t>指标</w:t>
            </w:r>
          </w:p>
        </w:tc>
        <w:tc>
          <w:tcPr>
            <w:tcW w:w="3535" w:type="dxa"/>
            <w:vAlign w:val="center"/>
          </w:tcPr>
          <w:p>
            <w:pPr>
              <w:widowControl/>
              <w:spacing w:line="260" w:lineRule="exact"/>
              <w:jc w:val="center"/>
              <w:rPr>
                <w:b/>
                <w:bCs/>
                <w:color w:val="000000"/>
                <w:kern w:val="0"/>
                <w:sz w:val="20"/>
                <w:szCs w:val="20"/>
              </w:rPr>
            </w:pPr>
            <w:r>
              <w:rPr>
                <w:b/>
                <w:bCs/>
                <w:color w:val="000000"/>
                <w:kern w:val="0"/>
                <w:sz w:val="20"/>
                <w:szCs w:val="20"/>
              </w:rPr>
              <w:t>三级指标</w:t>
            </w:r>
          </w:p>
        </w:tc>
        <w:tc>
          <w:tcPr>
            <w:tcW w:w="1311" w:type="dxa"/>
            <w:vAlign w:val="center"/>
          </w:tcPr>
          <w:p>
            <w:pPr>
              <w:widowControl/>
              <w:spacing w:line="260" w:lineRule="exact"/>
              <w:jc w:val="center"/>
              <w:rPr>
                <w:b/>
                <w:bCs/>
                <w:color w:val="000000"/>
                <w:kern w:val="0"/>
                <w:sz w:val="20"/>
                <w:szCs w:val="20"/>
              </w:rPr>
            </w:pPr>
            <w:r>
              <w:rPr>
                <w:b/>
                <w:bCs/>
                <w:color w:val="000000"/>
                <w:kern w:val="0"/>
                <w:sz w:val="20"/>
                <w:szCs w:val="20"/>
              </w:rPr>
              <w:t>分值</w:t>
            </w:r>
          </w:p>
        </w:tc>
        <w:tc>
          <w:tcPr>
            <w:tcW w:w="1311" w:type="dxa"/>
            <w:vAlign w:val="center"/>
          </w:tcPr>
          <w:p>
            <w:pPr>
              <w:widowControl/>
              <w:spacing w:line="260" w:lineRule="exact"/>
              <w:jc w:val="center"/>
              <w:rPr>
                <w:b/>
                <w:bCs/>
                <w:color w:val="000000"/>
                <w:kern w:val="0"/>
                <w:sz w:val="18"/>
                <w:szCs w:val="18"/>
              </w:rPr>
            </w:pPr>
            <w:r>
              <w:rPr>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18" w:type="dxa"/>
            <w:vMerge w:val="restart"/>
            <w:textDirection w:val="tbRlV"/>
            <w:vAlign w:val="center"/>
          </w:tcPr>
          <w:p>
            <w:pPr>
              <w:widowControl/>
              <w:spacing w:line="260" w:lineRule="exact"/>
              <w:jc w:val="center"/>
              <w:rPr>
                <w:color w:val="000000"/>
                <w:kern w:val="0"/>
                <w:sz w:val="20"/>
                <w:szCs w:val="20"/>
              </w:rPr>
            </w:pPr>
            <w:r>
              <w:rPr>
                <w:color w:val="000000"/>
                <w:kern w:val="0"/>
                <w:sz w:val="20"/>
                <w:szCs w:val="20"/>
              </w:rPr>
              <w:t>（20分）</w:t>
            </w:r>
            <w:r>
              <w:rPr>
                <w:color w:val="000000"/>
                <w:kern w:val="0"/>
                <w:sz w:val="20"/>
                <w:szCs w:val="20"/>
              </w:rPr>
              <w:br w:type="textWrapping"/>
            </w:r>
            <w:r>
              <w:rPr>
                <w:color w:val="000000"/>
                <w:kern w:val="0"/>
                <w:sz w:val="20"/>
                <w:szCs w:val="20"/>
              </w:rPr>
              <w:t>项目决策</w:t>
            </w:r>
          </w:p>
        </w:tc>
        <w:tc>
          <w:tcPr>
            <w:tcW w:w="2113" w:type="dxa"/>
            <w:vMerge w:val="restart"/>
            <w:textDirection w:val="tbRlV"/>
            <w:vAlign w:val="center"/>
          </w:tcPr>
          <w:p>
            <w:pPr>
              <w:widowControl/>
              <w:spacing w:line="260" w:lineRule="exact"/>
              <w:jc w:val="center"/>
              <w:rPr>
                <w:color w:val="000000"/>
                <w:kern w:val="0"/>
                <w:sz w:val="20"/>
                <w:szCs w:val="20"/>
              </w:rPr>
            </w:pPr>
            <w:r>
              <w:rPr>
                <w:color w:val="000000"/>
                <w:kern w:val="0"/>
                <w:sz w:val="20"/>
                <w:szCs w:val="20"/>
              </w:rPr>
              <w:t>（10分）</w:t>
            </w:r>
            <w:r>
              <w:rPr>
                <w:color w:val="000000"/>
                <w:kern w:val="0"/>
                <w:sz w:val="20"/>
                <w:szCs w:val="20"/>
              </w:rPr>
              <w:br w:type="textWrapping"/>
            </w:r>
            <w:r>
              <w:rPr>
                <w:color w:val="000000"/>
                <w:kern w:val="0"/>
                <w:sz w:val="20"/>
                <w:szCs w:val="20"/>
              </w:rPr>
              <w:t>科学决策</w:t>
            </w:r>
          </w:p>
        </w:tc>
        <w:tc>
          <w:tcPr>
            <w:tcW w:w="3535" w:type="dxa"/>
            <w:vAlign w:val="center"/>
          </w:tcPr>
          <w:p>
            <w:pPr>
              <w:widowControl/>
              <w:spacing w:line="260" w:lineRule="exact"/>
              <w:jc w:val="center"/>
              <w:rPr>
                <w:color w:val="000000"/>
                <w:kern w:val="0"/>
                <w:sz w:val="20"/>
                <w:szCs w:val="20"/>
              </w:rPr>
            </w:pPr>
            <w:r>
              <w:rPr>
                <w:color w:val="000000"/>
                <w:kern w:val="0"/>
                <w:sz w:val="20"/>
                <w:szCs w:val="20"/>
              </w:rPr>
              <w:t>必要性</w:t>
            </w:r>
            <w:r>
              <w:rPr>
                <w:color w:val="000000"/>
                <w:kern w:val="0"/>
                <w:sz w:val="20"/>
                <w:szCs w:val="20"/>
              </w:rPr>
              <w:br w:type="textWrapping"/>
            </w:r>
            <w:r>
              <w:rPr>
                <w:color w:val="000000"/>
                <w:kern w:val="0"/>
                <w:sz w:val="20"/>
                <w:szCs w:val="20"/>
              </w:rPr>
              <w:t>（政策依据)</w:t>
            </w:r>
          </w:p>
        </w:tc>
        <w:tc>
          <w:tcPr>
            <w:tcW w:w="1311" w:type="dxa"/>
            <w:vAlign w:val="center"/>
          </w:tcPr>
          <w:p>
            <w:pPr>
              <w:widowControl/>
              <w:spacing w:line="260" w:lineRule="exact"/>
              <w:jc w:val="center"/>
              <w:rPr>
                <w:color w:val="000000"/>
                <w:kern w:val="0"/>
                <w:sz w:val="20"/>
                <w:szCs w:val="20"/>
              </w:rPr>
            </w:pPr>
            <w:r>
              <w:rPr>
                <w:color w:val="000000"/>
                <w:kern w:val="0"/>
                <w:sz w:val="20"/>
                <w:szCs w:val="20"/>
              </w:rPr>
              <w:t>5</w:t>
            </w:r>
          </w:p>
        </w:tc>
        <w:tc>
          <w:tcPr>
            <w:tcW w:w="1311" w:type="dxa"/>
          </w:tcPr>
          <w:p>
            <w:pPr>
              <w:widowControl/>
              <w:spacing w:line="260" w:lineRule="exact"/>
              <w:jc w:val="center"/>
              <w:rPr>
                <w:color w:val="000000"/>
                <w:kern w:val="0"/>
                <w:szCs w:val="21"/>
              </w:rPr>
            </w:pPr>
            <w:r>
              <w:rPr>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18" w:type="dxa"/>
            <w:vMerge w:val="continue"/>
            <w:vAlign w:val="center"/>
          </w:tcPr>
          <w:p>
            <w:pPr>
              <w:widowControl/>
              <w:spacing w:line="260" w:lineRule="exact"/>
              <w:jc w:val="left"/>
              <w:rPr>
                <w:color w:val="000000"/>
                <w:kern w:val="0"/>
                <w:sz w:val="20"/>
                <w:szCs w:val="20"/>
              </w:rPr>
            </w:pPr>
          </w:p>
        </w:tc>
        <w:tc>
          <w:tcPr>
            <w:tcW w:w="2113" w:type="dxa"/>
            <w:vMerge w:val="continue"/>
            <w:vAlign w:val="center"/>
          </w:tcPr>
          <w:p>
            <w:pPr>
              <w:widowControl/>
              <w:spacing w:line="260" w:lineRule="exact"/>
              <w:jc w:val="left"/>
              <w:rPr>
                <w:color w:val="000000"/>
                <w:kern w:val="0"/>
                <w:sz w:val="20"/>
                <w:szCs w:val="20"/>
              </w:rPr>
            </w:pPr>
          </w:p>
        </w:tc>
        <w:tc>
          <w:tcPr>
            <w:tcW w:w="3535" w:type="dxa"/>
            <w:vAlign w:val="center"/>
          </w:tcPr>
          <w:p>
            <w:pPr>
              <w:widowControl/>
              <w:spacing w:line="260" w:lineRule="exact"/>
              <w:jc w:val="center"/>
              <w:rPr>
                <w:color w:val="000000"/>
                <w:kern w:val="0"/>
                <w:sz w:val="20"/>
                <w:szCs w:val="20"/>
              </w:rPr>
            </w:pPr>
            <w:r>
              <w:rPr>
                <w:color w:val="000000"/>
                <w:kern w:val="0"/>
                <w:sz w:val="20"/>
                <w:szCs w:val="20"/>
              </w:rPr>
              <w:t>可行性</w:t>
            </w:r>
            <w:r>
              <w:rPr>
                <w:color w:val="000000"/>
                <w:kern w:val="0"/>
                <w:sz w:val="20"/>
                <w:szCs w:val="20"/>
              </w:rPr>
              <w:br w:type="textWrapping"/>
            </w:r>
            <w:r>
              <w:rPr>
                <w:color w:val="000000"/>
                <w:kern w:val="0"/>
                <w:sz w:val="20"/>
                <w:szCs w:val="20"/>
              </w:rPr>
              <w:t>（政策完善）</w:t>
            </w:r>
          </w:p>
        </w:tc>
        <w:tc>
          <w:tcPr>
            <w:tcW w:w="1311" w:type="dxa"/>
            <w:vAlign w:val="center"/>
          </w:tcPr>
          <w:p>
            <w:pPr>
              <w:widowControl/>
              <w:spacing w:line="260" w:lineRule="exact"/>
              <w:jc w:val="center"/>
              <w:rPr>
                <w:color w:val="000000"/>
                <w:kern w:val="0"/>
                <w:sz w:val="20"/>
                <w:szCs w:val="20"/>
              </w:rPr>
            </w:pPr>
            <w:r>
              <w:rPr>
                <w:color w:val="000000"/>
                <w:kern w:val="0"/>
                <w:sz w:val="20"/>
                <w:szCs w:val="20"/>
              </w:rPr>
              <w:t>5</w:t>
            </w:r>
          </w:p>
        </w:tc>
        <w:tc>
          <w:tcPr>
            <w:tcW w:w="1311" w:type="dxa"/>
          </w:tcPr>
          <w:p>
            <w:pPr>
              <w:widowControl/>
              <w:spacing w:line="260" w:lineRule="exact"/>
              <w:jc w:val="center"/>
              <w:rPr>
                <w:color w:val="000000"/>
                <w:kern w:val="0"/>
                <w:szCs w:val="21"/>
              </w:rPr>
            </w:pPr>
            <w:r>
              <w:rPr>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618" w:type="dxa"/>
            <w:vMerge w:val="continue"/>
            <w:vAlign w:val="center"/>
          </w:tcPr>
          <w:p>
            <w:pPr>
              <w:widowControl/>
              <w:spacing w:line="260" w:lineRule="exact"/>
              <w:jc w:val="left"/>
              <w:rPr>
                <w:color w:val="000000"/>
                <w:kern w:val="0"/>
                <w:sz w:val="20"/>
                <w:szCs w:val="20"/>
              </w:rPr>
            </w:pPr>
          </w:p>
        </w:tc>
        <w:tc>
          <w:tcPr>
            <w:tcW w:w="2113" w:type="dxa"/>
            <w:vMerge w:val="restart"/>
            <w:textDirection w:val="tbRlV"/>
            <w:vAlign w:val="center"/>
          </w:tcPr>
          <w:p>
            <w:pPr>
              <w:widowControl/>
              <w:spacing w:line="260" w:lineRule="exact"/>
              <w:jc w:val="center"/>
              <w:rPr>
                <w:color w:val="000000"/>
                <w:kern w:val="0"/>
                <w:sz w:val="20"/>
                <w:szCs w:val="20"/>
              </w:rPr>
            </w:pPr>
            <w:r>
              <w:rPr>
                <w:color w:val="000000"/>
                <w:kern w:val="0"/>
                <w:sz w:val="20"/>
                <w:szCs w:val="20"/>
              </w:rPr>
              <w:t>（10）</w:t>
            </w:r>
            <w:r>
              <w:rPr>
                <w:color w:val="000000"/>
                <w:kern w:val="0"/>
                <w:sz w:val="20"/>
                <w:szCs w:val="20"/>
              </w:rPr>
              <w:br w:type="textWrapping"/>
            </w:r>
            <w:r>
              <w:rPr>
                <w:color w:val="000000"/>
                <w:kern w:val="0"/>
                <w:sz w:val="20"/>
                <w:szCs w:val="20"/>
              </w:rPr>
              <w:t xml:space="preserve">绩效目标    </w:t>
            </w:r>
          </w:p>
        </w:tc>
        <w:tc>
          <w:tcPr>
            <w:tcW w:w="3535" w:type="dxa"/>
            <w:vAlign w:val="center"/>
          </w:tcPr>
          <w:p>
            <w:pPr>
              <w:widowControl/>
              <w:spacing w:line="260" w:lineRule="exact"/>
              <w:jc w:val="center"/>
              <w:rPr>
                <w:color w:val="000000"/>
                <w:kern w:val="0"/>
                <w:sz w:val="20"/>
                <w:szCs w:val="20"/>
              </w:rPr>
            </w:pPr>
            <w:r>
              <w:rPr>
                <w:color w:val="000000"/>
                <w:kern w:val="0"/>
                <w:sz w:val="20"/>
                <w:szCs w:val="20"/>
              </w:rPr>
              <w:t>明确性</w:t>
            </w:r>
          </w:p>
        </w:tc>
        <w:tc>
          <w:tcPr>
            <w:tcW w:w="1311" w:type="dxa"/>
            <w:vAlign w:val="center"/>
          </w:tcPr>
          <w:p>
            <w:pPr>
              <w:widowControl/>
              <w:spacing w:line="260" w:lineRule="exact"/>
              <w:jc w:val="center"/>
              <w:rPr>
                <w:color w:val="000000"/>
                <w:kern w:val="0"/>
                <w:sz w:val="20"/>
                <w:szCs w:val="20"/>
              </w:rPr>
            </w:pPr>
            <w:r>
              <w:rPr>
                <w:color w:val="000000"/>
                <w:kern w:val="0"/>
                <w:sz w:val="20"/>
                <w:szCs w:val="20"/>
              </w:rPr>
              <w:t>5</w:t>
            </w:r>
          </w:p>
        </w:tc>
        <w:tc>
          <w:tcPr>
            <w:tcW w:w="1311" w:type="dxa"/>
          </w:tcPr>
          <w:p>
            <w:pPr>
              <w:widowControl/>
              <w:spacing w:line="260" w:lineRule="exact"/>
              <w:jc w:val="center"/>
              <w:rPr>
                <w:color w:val="000000"/>
                <w:kern w:val="0"/>
                <w:szCs w:val="21"/>
              </w:rPr>
            </w:pPr>
            <w:r>
              <w:rPr>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618" w:type="dxa"/>
            <w:vMerge w:val="continue"/>
            <w:vAlign w:val="center"/>
          </w:tcPr>
          <w:p>
            <w:pPr>
              <w:widowControl/>
              <w:spacing w:line="260" w:lineRule="exact"/>
              <w:jc w:val="left"/>
              <w:rPr>
                <w:color w:val="000000"/>
                <w:kern w:val="0"/>
                <w:sz w:val="20"/>
                <w:szCs w:val="20"/>
              </w:rPr>
            </w:pPr>
          </w:p>
        </w:tc>
        <w:tc>
          <w:tcPr>
            <w:tcW w:w="2113" w:type="dxa"/>
            <w:vMerge w:val="continue"/>
            <w:vAlign w:val="center"/>
          </w:tcPr>
          <w:p>
            <w:pPr>
              <w:widowControl/>
              <w:spacing w:line="260" w:lineRule="exact"/>
              <w:jc w:val="left"/>
              <w:rPr>
                <w:color w:val="000000"/>
                <w:kern w:val="0"/>
                <w:sz w:val="20"/>
                <w:szCs w:val="20"/>
              </w:rPr>
            </w:pPr>
          </w:p>
        </w:tc>
        <w:tc>
          <w:tcPr>
            <w:tcW w:w="3535" w:type="dxa"/>
            <w:vAlign w:val="center"/>
          </w:tcPr>
          <w:p>
            <w:pPr>
              <w:widowControl/>
              <w:spacing w:line="260" w:lineRule="exact"/>
              <w:jc w:val="center"/>
              <w:rPr>
                <w:color w:val="000000"/>
                <w:kern w:val="0"/>
                <w:sz w:val="20"/>
                <w:szCs w:val="20"/>
              </w:rPr>
            </w:pPr>
            <w:r>
              <w:rPr>
                <w:color w:val="000000"/>
                <w:kern w:val="0"/>
                <w:sz w:val="20"/>
                <w:szCs w:val="20"/>
              </w:rPr>
              <w:t>合理性</w:t>
            </w:r>
          </w:p>
        </w:tc>
        <w:tc>
          <w:tcPr>
            <w:tcW w:w="1311" w:type="dxa"/>
            <w:vAlign w:val="center"/>
          </w:tcPr>
          <w:p>
            <w:pPr>
              <w:widowControl/>
              <w:spacing w:line="260" w:lineRule="exact"/>
              <w:jc w:val="center"/>
              <w:rPr>
                <w:color w:val="000000"/>
                <w:kern w:val="0"/>
                <w:sz w:val="20"/>
                <w:szCs w:val="20"/>
              </w:rPr>
            </w:pPr>
            <w:r>
              <w:rPr>
                <w:color w:val="000000"/>
                <w:kern w:val="0"/>
                <w:sz w:val="20"/>
                <w:szCs w:val="20"/>
              </w:rPr>
              <w:t>5</w:t>
            </w:r>
          </w:p>
        </w:tc>
        <w:tc>
          <w:tcPr>
            <w:tcW w:w="1311" w:type="dxa"/>
          </w:tcPr>
          <w:p>
            <w:pPr>
              <w:widowControl/>
              <w:spacing w:line="260" w:lineRule="exact"/>
              <w:jc w:val="center"/>
              <w:rPr>
                <w:color w:val="000000"/>
                <w:kern w:val="0"/>
                <w:szCs w:val="21"/>
              </w:rPr>
            </w:pPr>
            <w:r>
              <w:rPr>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618" w:type="dxa"/>
            <w:vMerge w:val="restart"/>
            <w:textDirection w:val="tbRlV"/>
            <w:vAlign w:val="center"/>
          </w:tcPr>
          <w:p>
            <w:pPr>
              <w:widowControl/>
              <w:spacing w:line="260" w:lineRule="exact"/>
              <w:jc w:val="center"/>
              <w:rPr>
                <w:color w:val="000000"/>
                <w:kern w:val="0"/>
                <w:sz w:val="20"/>
                <w:szCs w:val="20"/>
              </w:rPr>
            </w:pPr>
            <w:r>
              <w:rPr>
                <w:color w:val="000000"/>
                <w:kern w:val="0"/>
                <w:sz w:val="20"/>
                <w:szCs w:val="20"/>
              </w:rPr>
              <w:t>（10分）</w:t>
            </w:r>
            <w:r>
              <w:rPr>
                <w:color w:val="000000"/>
                <w:kern w:val="0"/>
                <w:sz w:val="20"/>
                <w:szCs w:val="20"/>
              </w:rPr>
              <w:br w:type="textWrapping"/>
            </w:r>
            <w:r>
              <w:rPr>
                <w:color w:val="000000"/>
                <w:kern w:val="0"/>
                <w:sz w:val="20"/>
                <w:szCs w:val="20"/>
              </w:rPr>
              <w:t>项目管理</w:t>
            </w:r>
          </w:p>
        </w:tc>
        <w:tc>
          <w:tcPr>
            <w:tcW w:w="2113" w:type="dxa"/>
            <w:vMerge w:val="restart"/>
            <w:textDirection w:val="tbRlV"/>
            <w:vAlign w:val="center"/>
          </w:tcPr>
          <w:p>
            <w:pPr>
              <w:widowControl/>
              <w:spacing w:line="260" w:lineRule="exact"/>
              <w:jc w:val="center"/>
              <w:rPr>
                <w:color w:val="000000"/>
                <w:kern w:val="0"/>
                <w:sz w:val="20"/>
                <w:szCs w:val="20"/>
              </w:rPr>
            </w:pPr>
            <w:r>
              <w:rPr>
                <w:color w:val="000000"/>
                <w:kern w:val="0"/>
                <w:sz w:val="20"/>
                <w:szCs w:val="20"/>
              </w:rPr>
              <w:t>（7分）</w:t>
            </w:r>
            <w:r>
              <w:rPr>
                <w:color w:val="000000"/>
                <w:kern w:val="0"/>
                <w:sz w:val="20"/>
                <w:szCs w:val="20"/>
              </w:rPr>
              <w:br w:type="textWrapping"/>
            </w:r>
            <w:r>
              <w:rPr>
                <w:color w:val="000000"/>
                <w:kern w:val="0"/>
                <w:sz w:val="20"/>
                <w:szCs w:val="20"/>
              </w:rPr>
              <w:t>资金管理</w:t>
            </w:r>
          </w:p>
        </w:tc>
        <w:tc>
          <w:tcPr>
            <w:tcW w:w="3535" w:type="dxa"/>
            <w:vAlign w:val="center"/>
          </w:tcPr>
          <w:p>
            <w:pPr>
              <w:widowControl/>
              <w:spacing w:line="260" w:lineRule="exact"/>
              <w:jc w:val="center"/>
              <w:rPr>
                <w:color w:val="000000"/>
                <w:kern w:val="0"/>
                <w:sz w:val="20"/>
                <w:szCs w:val="20"/>
              </w:rPr>
            </w:pPr>
            <w:r>
              <w:rPr>
                <w:color w:val="000000"/>
                <w:kern w:val="0"/>
                <w:sz w:val="20"/>
                <w:szCs w:val="20"/>
              </w:rPr>
              <w:t>资金分配</w:t>
            </w:r>
          </w:p>
        </w:tc>
        <w:tc>
          <w:tcPr>
            <w:tcW w:w="1311" w:type="dxa"/>
            <w:vAlign w:val="center"/>
          </w:tcPr>
          <w:p>
            <w:pPr>
              <w:widowControl/>
              <w:spacing w:line="260" w:lineRule="exact"/>
              <w:jc w:val="center"/>
              <w:rPr>
                <w:color w:val="000000"/>
                <w:kern w:val="0"/>
                <w:sz w:val="20"/>
                <w:szCs w:val="20"/>
              </w:rPr>
            </w:pPr>
            <w:r>
              <w:rPr>
                <w:color w:val="000000"/>
                <w:kern w:val="0"/>
                <w:sz w:val="20"/>
                <w:szCs w:val="20"/>
              </w:rPr>
              <w:t>3</w:t>
            </w:r>
          </w:p>
        </w:tc>
        <w:tc>
          <w:tcPr>
            <w:tcW w:w="1311" w:type="dxa"/>
          </w:tcPr>
          <w:p>
            <w:pPr>
              <w:widowControl/>
              <w:spacing w:line="260" w:lineRule="exact"/>
              <w:jc w:val="center"/>
              <w:rPr>
                <w:color w:val="000000"/>
                <w:kern w:val="0"/>
                <w:szCs w:val="21"/>
              </w:rPr>
            </w:pPr>
            <w:r>
              <w:rPr>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618" w:type="dxa"/>
            <w:vMerge w:val="continue"/>
            <w:vAlign w:val="center"/>
          </w:tcPr>
          <w:p>
            <w:pPr>
              <w:widowControl/>
              <w:spacing w:line="260" w:lineRule="exact"/>
              <w:jc w:val="left"/>
              <w:rPr>
                <w:color w:val="000000"/>
                <w:kern w:val="0"/>
                <w:sz w:val="20"/>
                <w:szCs w:val="20"/>
              </w:rPr>
            </w:pPr>
          </w:p>
        </w:tc>
        <w:tc>
          <w:tcPr>
            <w:tcW w:w="2113" w:type="dxa"/>
            <w:vMerge w:val="continue"/>
            <w:textDirection w:val="tbRlV"/>
            <w:vAlign w:val="center"/>
          </w:tcPr>
          <w:p>
            <w:pPr>
              <w:widowControl/>
              <w:spacing w:line="260" w:lineRule="exact"/>
              <w:jc w:val="center"/>
              <w:rPr>
                <w:color w:val="000000"/>
                <w:kern w:val="0"/>
                <w:sz w:val="20"/>
                <w:szCs w:val="20"/>
              </w:rPr>
            </w:pPr>
          </w:p>
        </w:tc>
        <w:tc>
          <w:tcPr>
            <w:tcW w:w="3535" w:type="dxa"/>
            <w:vAlign w:val="center"/>
          </w:tcPr>
          <w:p>
            <w:pPr>
              <w:widowControl/>
              <w:spacing w:line="260" w:lineRule="exact"/>
              <w:jc w:val="center"/>
              <w:rPr>
                <w:color w:val="000000"/>
                <w:kern w:val="0"/>
                <w:sz w:val="20"/>
                <w:szCs w:val="20"/>
              </w:rPr>
            </w:pPr>
            <w:r>
              <w:rPr>
                <w:color w:val="000000"/>
                <w:kern w:val="0"/>
                <w:sz w:val="20"/>
                <w:szCs w:val="20"/>
              </w:rPr>
              <w:t>资金使用</w:t>
            </w:r>
          </w:p>
        </w:tc>
        <w:tc>
          <w:tcPr>
            <w:tcW w:w="1311" w:type="dxa"/>
            <w:vAlign w:val="center"/>
          </w:tcPr>
          <w:p>
            <w:pPr>
              <w:widowControl/>
              <w:spacing w:line="260" w:lineRule="exact"/>
              <w:jc w:val="center"/>
              <w:rPr>
                <w:color w:val="000000"/>
                <w:kern w:val="0"/>
                <w:sz w:val="20"/>
                <w:szCs w:val="20"/>
              </w:rPr>
            </w:pPr>
            <w:r>
              <w:rPr>
                <w:color w:val="000000"/>
                <w:kern w:val="0"/>
                <w:sz w:val="20"/>
                <w:szCs w:val="20"/>
              </w:rPr>
              <w:t>4</w:t>
            </w:r>
          </w:p>
        </w:tc>
        <w:tc>
          <w:tcPr>
            <w:tcW w:w="1311" w:type="dxa"/>
          </w:tcPr>
          <w:p>
            <w:pPr>
              <w:widowControl/>
              <w:spacing w:line="260" w:lineRule="exact"/>
              <w:jc w:val="center"/>
              <w:rPr>
                <w:color w:val="000000"/>
                <w:kern w:val="0"/>
                <w:szCs w:val="21"/>
              </w:rPr>
            </w:pPr>
            <w:r>
              <w:rPr>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1618" w:type="dxa"/>
            <w:vMerge w:val="continue"/>
            <w:vAlign w:val="center"/>
          </w:tcPr>
          <w:p>
            <w:pPr>
              <w:widowControl/>
              <w:spacing w:line="260" w:lineRule="exact"/>
              <w:jc w:val="left"/>
              <w:rPr>
                <w:color w:val="000000"/>
                <w:kern w:val="0"/>
                <w:sz w:val="20"/>
                <w:szCs w:val="20"/>
              </w:rPr>
            </w:pPr>
          </w:p>
        </w:tc>
        <w:tc>
          <w:tcPr>
            <w:tcW w:w="2113" w:type="dxa"/>
            <w:textDirection w:val="tbRlV"/>
            <w:vAlign w:val="center"/>
          </w:tcPr>
          <w:p>
            <w:pPr>
              <w:widowControl/>
              <w:spacing w:line="260" w:lineRule="exact"/>
              <w:jc w:val="center"/>
              <w:rPr>
                <w:color w:val="000000"/>
                <w:kern w:val="0"/>
                <w:sz w:val="20"/>
                <w:szCs w:val="20"/>
              </w:rPr>
            </w:pPr>
            <w:r>
              <w:rPr>
                <w:color w:val="000000"/>
                <w:kern w:val="0"/>
                <w:sz w:val="20"/>
                <w:szCs w:val="20"/>
              </w:rPr>
              <w:t>（3分）</w:t>
            </w:r>
            <w:r>
              <w:rPr>
                <w:color w:val="000000"/>
                <w:kern w:val="0"/>
                <w:sz w:val="20"/>
                <w:szCs w:val="20"/>
              </w:rPr>
              <w:br w:type="textWrapping"/>
            </w:r>
            <w:r>
              <w:rPr>
                <w:color w:val="000000"/>
                <w:kern w:val="0"/>
                <w:sz w:val="20"/>
                <w:szCs w:val="20"/>
              </w:rPr>
              <w:t>项目执行</w:t>
            </w:r>
          </w:p>
        </w:tc>
        <w:tc>
          <w:tcPr>
            <w:tcW w:w="3535" w:type="dxa"/>
            <w:vAlign w:val="center"/>
          </w:tcPr>
          <w:p>
            <w:pPr>
              <w:widowControl/>
              <w:spacing w:line="260" w:lineRule="exact"/>
              <w:jc w:val="center"/>
              <w:rPr>
                <w:color w:val="000000"/>
                <w:kern w:val="0"/>
                <w:sz w:val="20"/>
                <w:szCs w:val="20"/>
              </w:rPr>
            </w:pPr>
            <w:r>
              <w:rPr>
                <w:color w:val="000000"/>
                <w:kern w:val="0"/>
                <w:sz w:val="20"/>
                <w:szCs w:val="20"/>
              </w:rPr>
              <w:t>执行规范</w:t>
            </w:r>
          </w:p>
        </w:tc>
        <w:tc>
          <w:tcPr>
            <w:tcW w:w="1311" w:type="dxa"/>
            <w:vAlign w:val="center"/>
          </w:tcPr>
          <w:p>
            <w:pPr>
              <w:widowControl/>
              <w:spacing w:line="260" w:lineRule="exact"/>
              <w:jc w:val="center"/>
              <w:rPr>
                <w:color w:val="000000"/>
                <w:kern w:val="0"/>
                <w:sz w:val="20"/>
                <w:szCs w:val="20"/>
              </w:rPr>
            </w:pPr>
            <w:r>
              <w:rPr>
                <w:color w:val="000000"/>
                <w:kern w:val="0"/>
                <w:sz w:val="20"/>
                <w:szCs w:val="20"/>
              </w:rPr>
              <w:t>3</w:t>
            </w:r>
          </w:p>
        </w:tc>
        <w:tc>
          <w:tcPr>
            <w:tcW w:w="1311" w:type="dxa"/>
          </w:tcPr>
          <w:p>
            <w:pPr>
              <w:widowControl/>
              <w:spacing w:line="260" w:lineRule="exact"/>
              <w:jc w:val="center"/>
              <w:rPr>
                <w:color w:val="000000"/>
                <w:kern w:val="0"/>
                <w:szCs w:val="21"/>
              </w:rPr>
            </w:pPr>
            <w:r>
              <w:rPr>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618" w:type="dxa"/>
            <w:vMerge w:val="restart"/>
            <w:textDirection w:val="tbRlV"/>
            <w:vAlign w:val="center"/>
          </w:tcPr>
          <w:p>
            <w:pPr>
              <w:widowControl/>
              <w:spacing w:line="260" w:lineRule="exact"/>
              <w:jc w:val="center"/>
              <w:rPr>
                <w:color w:val="000000"/>
                <w:kern w:val="0"/>
                <w:sz w:val="20"/>
                <w:szCs w:val="20"/>
              </w:rPr>
            </w:pPr>
            <w:r>
              <w:rPr>
                <w:color w:val="000000"/>
                <w:kern w:val="0"/>
                <w:sz w:val="20"/>
                <w:szCs w:val="20"/>
              </w:rPr>
              <w:t>（特性指标70分）</w:t>
            </w:r>
            <w:r>
              <w:rPr>
                <w:color w:val="000000"/>
                <w:kern w:val="0"/>
                <w:sz w:val="20"/>
                <w:szCs w:val="20"/>
              </w:rPr>
              <w:br w:type="textWrapping"/>
            </w:r>
            <w:r>
              <w:rPr>
                <w:color w:val="000000"/>
                <w:kern w:val="0"/>
                <w:sz w:val="20"/>
                <w:szCs w:val="20"/>
              </w:rPr>
              <w:t xml:space="preserve">项目绩效  </w:t>
            </w:r>
          </w:p>
        </w:tc>
        <w:tc>
          <w:tcPr>
            <w:tcW w:w="2113" w:type="dxa"/>
            <w:vMerge w:val="restart"/>
            <w:textDirection w:val="tbRlV"/>
            <w:vAlign w:val="center"/>
          </w:tcPr>
          <w:p>
            <w:pPr>
              <w:widowControl/>
              <w:spacing w:line="260" w:lineRule="exact"/>
              <w:jc w:val="center"/>
              <w:rPr>
                <w:color w:val="000000"/>
                <w:kern w:val="0"/>
                <w:sz w:val="20"/>
                <w:szCs w:val="20"/>
              </w:rPr>
            </w:pPr>
            <w:r>
              <w:rPr>
                <w:color w:val="000000"/>
                <w:kern w:val="0"/>
                <w:sz w:val="20"/>
                <w:szCs w:val="20"/>
              </w:rPr>
              <w:t>（20）</w:t>
            </w:r>
            <w:r>
              <w:rPr>
                <w:color w:val="000000"/>
                <w:kern w:val="0"/>
                <w:sz w:val="20"/>
                <w:szCs w:val="20"/>
              </w:rPr>
              <w:br w:type="textWrapping"/>
            </w:r>
            <w:r>
              <w:rPr>
                <w:color w:val="000000"/>
                <w:kern w:val="0"/>
                <w:sz w:val="20"/>
                <w:szCs w:val="20"/>
              </w:rPr>
              <w:t>项目完成</w:t>
            </w:r>
          </w:p>
        </w:tc>
        <w:tc>
          <w:tcPr>
            <w:tcW w:w="3535" w:type="dxa"/>
            <w:vAlign w:val="center"/>
          </w:tcPr>
          <w:p>
            <w:pPr>
              <w:widowControl/>
              <w:spacing w:line="260" w:lineRule="exact"/>
              <w:jc w:val="center"/>
              <w:rPr>
                <w:color w:val="000000"/>
                <w:kern w:val="0"/>
                <w:sz w:val="20"/>
                <w:szCs w:val="20"/>
              </w:rPr>
            </w:pPr>
            <w:r>
              <w:rPr>
                <w:color w:val="000000"/>
                <w:kern w:val="0"/>
                <w:sz w:val="20"/>
                <w:szCs w:val="20"/>
              </w:rPr>
              <w:t>完成数量</w:t>
            </w:r>
          </w:p>
        </w:tc>
        <w:tc>
          <w:tcPr>
            <w:tcW w:w="1311" w:type="dxa"/>
            <w:vAlign w:val="center"/>
          </w:tcPr>
          <w:p>
            <w:pPr>
              <w:widowControl/>
              <w:spacing w:line="260" w:lineRule="exact"/>
              <w:jc w:val="center"/>
              <w:rPr>
                <w:color w:val="000000"/>
                <w:kern w:val="0"/>
                <w:sz w:val="20"/>
                <w:szCs w:val="20"/>
              </w:rPr>
            </w:pPr>
            <w:r>
              <w:rPr>
                <w:color w:val="000000"/>
                <w:kern w:val="0"/>
                <w:sz w:val="20"/>
                <w:szCs w:val="20"/>
              </w:rPr>
              <w:t xml:space="preserve">5 </w:t>
            </w:r>
          </w:p>
        </w:tc>
        <w:tc>
          <w:tcPr>
            <w:tcW w:w="1311" w:type="dxa"/>
          </w:tcPr>
          <w:p>
            <w:pPr>
              <w:widowControl/>
              <w:spacing w:line="260" w:lineRule="exact"/>
              <w:jc w:val="center"/>
              <w:rPr>
                <w:color w:val="000000"/>
                <w:kern w:val="0"/>
                <w:szCs w:val="21"/>
              </w:rPr>
            </w:pPr>
            <w:r>
              <w:rPr>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618" w:type="dxa"/>
            <w:vMerge w:val="continue"/>
            <w:vAlign w:val="center"/>
          </w:tcPr>
          <w:p>
            <w:pPr>
              <w:widowControl/>
              <w:spacing w:line="260" w:lineRule="exact"/>
              <w:jc w:val="left"/>
              <w:rPr>
                <w:color w:val="000000"/>
                <w:kern w:val="0"/>
                <w:sz w:val="20"/>
                <w:szCs w:val="20"/>
              </w:rPr>
            </w:pPr>
          </w:p>
        </w:tc>
        <w:tc>
          <w:tcPr>
            <w:tcW w:w="2113" w:type="dxa"/>
            <w:vMerge w:val="continue"/>
            <w:vAlign w:val="center"/>
          </w:tcPr>
          <w:p>
            <w:pPr>
              <w:widowControl/>
              <w:spacing w:line="260" w:lineRule="exact"/>
              <w:jc w:val="left"/>
              <w:rPr>
                <w:color w:val="000000"/>
                <w:kern w:val="0"/>
                <w:sz w:val="20"/>
                <w:szCs w:val="20"/>
              </w:rPr>
            </w:pPr>
          </w:p>
        </w:tc>
        <w:tc>
          <w:tcPr>
            <w:tcW w:w="3535" w:type="dxa"/>
            <w:vAlign w:val="center"/>
          </w:tcPr>
          <w:p>
            <w:pPr>
              <w:widowControl/>
              <w:spacing w:line="260" w:lineRule="exact"/>
              <w:jc w:val="center"/>
              <w:rPr>
                <w:color w:val="000000"/>
                <w:kern w:val="0"/>
                <w:sz w:val="20"/>
                <w:szCs w:val="20"/>
              </w:rPr>
            </w:pPr>
            <w:r>
              <w:rPr>
                <w:color w:val="000000"/>
                <w:kern w:val="0"/>
                <w:sz w:val="20"/>
                <w:szCs w:val="20"/>
              </w:rPr>
              <w:t>完成质量</w:t>
            </w:r>
          </w:p>
        </w:tc>
        <w:tc>
          <w:tcPr>
            <w:tcW w:w="1311" w:type="dxa"/>
            <w:vAlign w:val="center"/>
          </w:tcPr>
          <w:p>
            <w:pPr>
              <w:widowControl/>
              <w:spacing w:line="260" w:lineRule="exact"/>
              <w:jc w:val="center"/>
              <w:rPr>
                <w:color w:val="000000"/>
                <w:kern w:val="0"/>
                <w:sz w:val="20"/>
                <w:szCs w:val="20"/>
              </w:rPr>
            </w:pPr>
            <w:r>
              <w:rPr>
                <w:color w:val="000000"/>
                <w:kern w:val="0"/>
                <w:sz w:val="20"/>
                <w:szCs w:val="20"/>
              </w:rPr>
              <w:t xml:space="preserve">5 </w:t>
            </w:r>
          </w:p>
        </w:tc>
        <w:tc>
          <w:tcPr>
            <w:tcW w:w="1311" w:type="dxa"/>
          </w:tcPr>
          <w:p>
            <w:pPr>
              <w:widowControl/>
              <w:spacing w:line="260" w:lineRule="exact"/>
              <w:jc w:val="center"/>
              <w:rPr>
                <w:color w:val="000000"/>
                <w:kern w:val="0"/>
                <w:szCs w:val="21"/>
              </w:rPr>
            </w:pPr>
            <w:r>
              <w:rPr>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618" w:type="dxa"/>
            <w:vMerge w:val="continue"/>
            <w:vAlign w:val="center"/>
          </w:tcPr>
          <w:p>
            <w:pPr>
              <w:widowControl/>
              <w:spacing w:line="260" w:lineRule="exact"/>
              <w:jc w:val="left"/>
              <w:rPr>
                <w:color w:val="000000"/>
                <w:kern w:val="0"/>
                <w:sz w:val="20"/>
                <w:szCs w:val="20"/>
              </w:rPr>
            </w:pPr>
          </w:p>
        </w:tc>
        <w:tc>
          <w:tcPr>
            <w:tcW w:w="2113" w:type="dxa"/>
            <w:vMerge w:val="continue"/>
            <w:vAlign w:val="center"/>
          </w:tcPr>
          <w:p>
            <w:pPr>
              <w:widowControl/>
              <w:spacing w:line="260" w:lineRule="exact"/>
              <w:jc w:val="left"/>
              <w:rPr>
                <w:color w:val="000000"/>
                <w:kern w:val="0"/>
                <w:sz w:val="20"/>
                <w:szCs w:val="20"/>
              </w:rPr>
            </w:pPr>
          </w:p>
        </w:tc>
        <w:tc>
          <w:tcPr>
            <w:tcW w:w="3535" w:type="dxa"/>
            <w:vAlign w:val="center"/>
          </w:tcPr>
          <w:p>
            <w:pPr>
              <w:widowControl/>
              <w:spacing w:line="260" w:lineRule="exact"/>
              <w:jc w:val="center"/>
              <w:rPr>
                <w:color w:val="000000"/>
                <w:kern w:val="0"/>
                <w:sz w:val="20"/>
                <w:szCs w:val="20"/>
              </w:rPr>
            </w:pPr>
            <w:r>
              <w:rPr>
                <w:color w:val="000000"/>
                <w:kern w:val="0"/>
                <w:sz w:val="20"/>
                <w:szCs w:val="20"/>
              </w:rPr>
              <w:t>完成时效</w:t>
            </w:r>
          </w:p>
        </w:tc>
        <w:tc>
          <w:tcPr>
            <w:tcW w:w="1311" w:type="dxa"/>
            <w:vAlign w:val="center"/>
          </w:tcPr>
          <w:p>
            <w:pPr>
              <w:widowControl/>
              <w:spacing w:line="260" w:lineRule="exact"/>
              <w:jc w:val="center"/>
              <w:rPr>
                <w:color w:val="000000"/>
                <w:kern w:val="0"/>
                <w:sz w:val="20"/>
                <w:szCs w:val="20"/>
              </w:rPr>
            </w:pPr>
            <w:r>
              <w:rPr>
                <w:color w:val="000000"/>
                <w:kern w:val="0"/>
                <w:sz w:val="20"/>
                <w:szCs w:val="20"/>
              </w:rPr>
              <w:t>5</w:t>
            </w:r>
          </w:p>
        </w:tc>
        <w:tc>
          <w:tcPr>
            <w:tcW w:w="1311" w:type="dxa"/>
          </w:tcPr>
          <w:p>
            <w:pPr>
              <w:widowControl/>
              <w:spacing w:line="260" w:lineRule="exact"/>
              <w:jc w:val="center"/>
              <w:rPr>
                <w:color w:val="000000"/>
                <w:kern w:val="0"/>
                <w:szCs w:val="21"/>
              </w:rPr>
            </w:pPr>
            <w:r>
              <w:rPr>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618" w:type="dxa"/>
            <w:vMerge w:val="continue"/>
            <w:vAlign w:val="center"/>
          </w:tcPr>
          <w:p>
            <w:pPr>
              <w:widowControl/>
              <w:spacing w:line="260" w:lineRule="exact"/>
              <w:jc w:val="left"/>
              <w:rPr>
                <w:color w:val="000000"/>
                <w:kern w:val="0"/>
                <w:sz w:val="20"/>
                <w:szCs w:val="20"/>
              </w:rPr>
            </w:pPr>
          </w:p>
        </w:tc>
        <w:tc>
          <w:tcPr>
            <w:tcW w:w="2113" w:type="dxa"/>
            <w:vMerge w:val="continue"/>
            <w:vAlign w:val="center"/>
          </w:tcPr>
          <w:p>
            <w:pPr>
              <w:widowControl/>
              <w:spacing w:line="260" w:lineRule="exact"/>
              <w:jc w:val="left"/>
              <w:rPr>
                <w:color w:val="000000"/>
                <w:kern w:val="0"/>
                <w:sz w:val="20"/>
                <w:szCs w:val="20"/>
              </w:rPr>
            </w:pPr>
          </w:p>
        </w:tc>
        <w:tc>
          <w:tcPr>
            <w:tcW w:w="3535" w:type="dxa"/>
            <w:vAlign w:val="center"/>
          </w:tcPr>
          <w:p>
            <w:pPr>
              <w:widowControl/>
              <w:spacing w:line="260" w:lineRule="exact"/>
              <w:jc w:val="center"/>
              <w:rPr>
                <w:color w:val="000000"/>
                <w:kern w:val="0"/>
                <w:sz w:val="20"/>
                <w:szCs w:val="20"/>
              </w:rPr>
            </w:pPr>
            <w:r>
              <w:rPr>
                <w:color w:val="000000"/>
                <w:kern w:val="0"/>
                <w:sz w:val="20"/>
                <w:szCs w:val="20"/>
              </w:rPr>
              <w:t>完成成本</w:t>
            </w:r>
          </w:p>
        </w:tc>
        <w:tc>
          <w:tcPr>
            <w:tcW w:w="1311" w:type="dxa"/>
            <w:vAlign w:val="center"/>
          </w:tcPr>
          <w:p>
            <w:pPr>
              <w:widowControl/>
              <w:spacing w:line="260" w:lineRule="exact"/>
              <w:jc w:val="center"/>
              <w:rPr>
                <w:color w:val="000000"/>
                <w:kern w:val="0"/>
                <w:sz w:val="20"/>
                <w:szCs w:val="20"/>
              </w:rPr>
            </w:pPr>
            <w:r>
              <w:rPr>
                <w:color w:val="000000"/>
                <w:kern w:val="0"/>
                <w:sz w:val="20"/>
                <w:szCs w:val="20"/>
              </w:rPr>
              <w:t>5</w:t>
            </w:r>
          </w:p>
        </w:tc>
        <w:tc>
          <w:tcPr>
            <w:tcW w:w="1311" w:type="dxa"/>
          </w:tcPr>
          <w:p>
            <w:pPr>
              <w:widowControl/>
              <w:spacing w:line="260" w:lineRule="exact"/>
              <w:jc w:val="center"/>
              <w:rPr>
                <w:color w:val="000000"/>
                <w:kern w:val="0"/>
                <w:szCs w:val="21"/>
              </w:rPr>
            </w:pPr>
            <w:r>
              <w:rPr>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618" w:type="dxa"/>
            <w:vMerge w:val="continue"/>
            <w:vAlign w:val="center"/>
          </w:tcPr>
          <w:p>
            <w:pPr>
              <w:widowControl/>
              <w:spacing w:line="260" w:lineRule="exact"/>
              <w:jc w:val="left"/>
              <w:rPr>
                <w:color w:val="000000"/>
                <w:kern w:val="0"/>
                <w:sz w:val="20"/>
                <w:szCs w:val="20"/>
              </w:rPr>
            </w:pPr>
          </w:p>
        </w:tc>
        <w:tc>
          <w:tcPr>
            <w:tcW w:w="2113" w:type="dxa"/>
            <w:vMerge w:val="restart"/>
            <w:textDirection w:val="tbRlV"/>
            <w:vAlign w:val="center"/>
          </w:tcPr>
          <w:p>
            <w:pPr>
              <w:widowControl/>
              <w:spacing w:line="260" w:lineRule="exact"/>
              <w:jc w:val="center"/>
              <w:rPr>
                <w:color w:val="000000"/>
                <w:kern w:val="0"/>
                <w:sz w:val="20"/>
                <w:szCs w:val="20"/>
              </w:rPr>
            </w:pPr>
            <w:r>
              <w:rPr>
                <w:color w:val="000000"/>
                <w:kern w:val="0"/>
                <w:sz w:val="20"/>
                <w:szCs w:val="20"/>
              </w:rPr>
              <w:t>（50分）</w:t>
            </w:r>
            <w:r>
              <w:rPr>
                <w:color w:val="000000"/>
                <w:kern w:val="0"/>
                <w:sz w:val="20"/>
                <w:szCs w:val="20"/>
              </w:rPr>
              <w:br w:type="textWrapping"/>
            </w:r>
            <w:r>
              <w:rPr>
                <w:color w:val="000000"/>
                <w:kern w:val="0"/>
                <w:sz w:val="20"/>
                <w:szCs w:val="20"/>
              </w:rPr>
              <w:t>项目效益</w:t>
            </w:r>
          </w:p>
        </w:tc>
        <w:tc>
          <w:tcPr>
            <w:tcW w:w="3535" w:type="dxa"/>
            <w:vAlign w:val="center"/>
          </w:tcPr>
          <w:p>
            <w:pPr>
              <w:widowControl/>
              <w:spacing w:line="260" w:lineRule="exact"/>
              <w:jc w:val="center"/>
              <w:rPr>
                <w:color w:val="000000"/>
                <w:kern w:val="0"/>
                <w:sz w:val="20"/>
                <w:szCs w:val="20"/>
              </w:rPr>
            </w:pPr>
            <w:r>
              <w:rPr>
                <w:color w:val="000000"/>
                <w:kern w:val="0"/>
                <w:sz w:val="20"/>
                <w:szCs w:val="20"/>
              </w:rPr>
              <w:t>经济效益（可选项）</w:t>
            </w:r>
          </w:p>
        </w:tc>
        <w:tc>
          <w:tcPr>
            <w:tcW w:w="1311" w:type="dxa"/>
            <w:vMerge w:val="restart"/>
            <w:vAlign w:val="center"/>
          </w:tcPr>
          <w:p>
            <w:pPr>
              <w:widowControl/>
              <w:spacing w:line="260" w:lineRule="exact"/>
              <w:jc w:val="center"/>
              <w:rPr>
                <w:color w:val="000000"/>
                <w:kern w:val="0"/>
                <w:sz w:val="20"/>
                <w:szCs w:val="20"/>
              </w:rPr>
            </w:pPr>
            <w:r>
              <w:rPr>
                <w:color w:val="000000"/>
                <w:kern w:val="0"/>
                <w:sz w:val="20"/>
                <w:szCs w:val="20"/>
              </w:rPr>
              <w:t>40</w:t>
            </w:r>
          </w:p>
        </w:tc>
        <w:tc>
          <w:tcPr>
            <w:tcW w:w="1311" w:type="dxa"/>
          </w:tcPr>
          <w:p>
            <w:pPr>
              <w:widowControl/>
              <w:spacing w:line="260" w:lineRule="exact"/>
              <w:jc w:val="center"/>
              <w:rPr>
                <w:color w:val="000000"/>
                <w:kern w:val="0"/>
                <w:szCs w:val="21"/>
              </w:rPr>
            </w:pPr>
            <w:r>
              <w:rPr>
                <w:color w:val="000000"/>
                <w:kern w:val="0"/>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618" w:type="dxa"/>
            <w:vMerge w:val="continue"/>
            <w:vAlign w:val="center"/>
          </w:tcPr>
          <w:p>
            <w:pPr>
              <w:widowControl/>
              <w:spacing w:line="260" w:lineRule="exact"/>
              <w:jc w:val="left"/>
              <w:rPr>
                <w:color w:val="000000"/>
                <w:kern w:val="0"/>
                <w:sz w:val="20"/>
                <w:szCs w:val="20"/>
              </w:rPr>
            </w:pPr>
          </w:p>
        </w:tc>
        <w:tc>
          <w:tcPr>
            <w:tcW w:w="2113" w:type="dxa"/>
            <w:vMerge w:val="continue"/>
            <w:vAlign w:val="center"/>
          </w:tcPr>
          <w:p>
            <w:pPr>
              <w:widowControl/>
              <w:spacing w:line="260" w:lineRule="exact"/>
              <w:jc w:val="left"/>
              <w:rPr>
                <w:color w:val="000000"/>
                <w:kern w:val="0"/>
                <w:sz w:val="20"/>
                <w:szCs w:val="20"/>
              </w:rPr>
            </w:pPr>
          </w:p>
        </w:tc>
        <w:tc>
          <w:tcPr>
            <w:tcW w:w="3535" w:type="dxa"/>
            <w:vAlign w:val="center"/>
          </w:tcPr>
          <w:p>
            <w:pPr>
              <w:widowControl/>
              <w:spacing w:line="260" w:lineRule="exact"/>
              <w:jc w:val="center"/>
              <w:rPr>
                <w:color w:val="000000"/>
                <w:kern w:val="0"/>
                <w:sz w:val="20"/>
                <w:szCs w:val="20"/>
              </w:rPr>
            </w:pPr>
            <w:r>
              <w:rPr>
                <w:color w:val="000000"/>
                <w:kern w:val="0"/>
                <w:sz w:val="20"/>
                <w:szCs w:val="20"/>
              </w:rPr>
              <w:t>社会效益（可选项）</w:t>
            </w:r>
          </w:p>
        </w:tc>
        <w:tc>
          <w:tcPr>
            <w:tcW w:w="1311" w:type="dxa"/>
            <w:vMerge w:val="continue"/>
            <w:vAlign w:val="center"/>
          </w:tcPr>
          <w:p>
            <w:pPr>
              <w:widowControl/>
              <w:spacing w:line="260" w:lineRule="exact"/>
              <w:jc w:val="left"/>
              <w:rPr>
                <w:color w:val="000000"/>
                <w:kern w:val="0"/>
                <w:sz w:val="20"/>
                <w:szCs w:val="20"/>
              </w:rPr>
            </w:pPr>
          </w:p>
        </w:tc>
        <w:tc>
          <w:tcPr>
            <w:tcW w:w="1311" w:type="dxa"/>
          </w:tcPr>
          <w:p>
            <w:pPr>
              <w:widowControl/>
              <w:spacing w:line="260" w:lineRule="exact"/>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618" w:type="dxa"/>
            <w:vMerge w:val="continue"/>
            <w:vAlign w:val="center"/>
          </w:tcPr>
          <w:p>
            <w:pPr>
              <w:widowControl/>
              <w:spacing w:line="260" w:lineRule="exact"/>
              <w:jc w:val="left"/>
              <w:rPr>
                <w:color w:val="000000"/>
                <w:kern w:val="0"/>
                <w:sz w:val="20"/>
                <w:szCs w:val="20"/>
              </w:rPr>
            </w:pPr>
          </w:p>
        </w:tc>
        <w:tc>
          <w:tcPr>
            <w:tcW w:w="2113" w:type="dxa"/>
            <w:vMerge w:val="continue"/>
            <w:vAlign w:val="center"/>
          </w:tcPr>
          <w:p>
            <w:pPr>
              <w:widowControl/>
              <w:spacing w:line="260" w:lineRule="exact"/>
              <w:jc w:val="left"/>
              <w:rPr>
                <w:color w:val="000000"/>
                <w:kern w:val="0"/>
                <w:sz w:val="20"/>
                <w:szCs w:val="20"/>
              </w:rPr>
            </w:pPr>
          </w:p>
        </w:tc>
        <w:tc>
          <w:tcPr>
            <w:tcW w:w="3535" w:type="dxa"/>
            <w:vAlign w:val="center"/>
          </w:tcPr>
          <w:p>
            <w:pPr>
              <w:widowControl/>
              <w:spacing w:line="260" w:lineRule="exact"/>
              <w:jc w:val="center"/>
              <w:rPr>
                <w:color w:val="000000"/>
                <w:kern w:val="0"/>
                <w:sz w:val="20"/>
                <w:szCs w:val="20"/>
              </w:rPr>
            </w:pPr>
            <w:r>
              <w:rPr>
                <w:color w:val="000000"/>
                <w:kern w:val="0"/>
                <w:sz w:val="20"/>
                <w:szCs w:val="20"/>
              </w:rPr>
              <w:t>生态效益（可选项）</w:t>
            </w:r>
          </w:p>
        </w:tc>
        <w:tc>
          <w:tcPr>
            <w:tcW w:w="1311" w:type="dxa"/>
            <w:vMerge w:val="continue"/>
            <w:vAlign w:val="center"/>
          </w:tcPr>
          <w:p>
            <w:pPr>
              <w:widowControl/>
              <w:spacing w:line="260" w:lineRule="exact"/>
              <w:jc w:val="left"/>
              <w:rPr>
                <w:color w:val="000000"/>
                <w:kern w:val="0"/>
                <w:sz w:val="20"/>
                <w:szCs w:val="20"/>
              </w:rPr>
            </w:pPr>
          </w:p>
        </w:tc>
        <w:tc>
          <w:tcPr>
            <w:tcW w:w="1311" w:type="dxa"/>
          </w:tcPr>
          <w:p>
            <w:pPr>
              <w:widowControl/>
              <w:spacing w:line="260" w:lineRule="exact"/>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618" w:type="dxa"/>
            <w:vMerge w:val="continue"/>
            <w:vAlign w:val="center"/>
          </w:tcPr>
          <w:p>
            <w:pPr>
              <w:widowControl/>
              <w:spacing w:line="260" w:lineRule="exact"/>
              <w:jc w:val="left"/>
              <w:rPr>
                <w:color w:val="000000"/>
                <w:kern w:val="0"/>
                <w:sz w:val="20"/>
                <w:szCs w:val="20"/>
              </w:rPr>
            </w:pPr>
          </w:p>
        </w:tc>
        <w:tc>
          <w:tcPr>
            <w:tcW w:w="2113" w:type="dxa"/>
            <w:vMerge w:val="continue"/>
            <w:vAlign w:val="center"/>
          </w:tcPr>
          <w:p>
            <w:pPr>
              <w:widowControl/>
              <w:spacing w:line="260" w:lineRule="exact"/>
              <w:jc w:val="left"/>
              <w:rPr>
                <w:color w:val="000000"/>
                <w:kern w:val="0"/>
                <w:sz w:val="20"/>
                <w:szCs w:val="20"/>
              </w:rPr>
            </w:pPr>
          </w:p>
        </w:tc>
        <w:tc>
          <w:tcPr>
            <w:tcW w:w="3535" w:type="dxa"/>
            <w:vAlign w:val="center"/>
          </w:tcPr>
          <w:p>
            <w:pPr>
              <w:widowControl/>
              <w:spacing w:line="260" w:lineRule="exact"/>
              <w:jc w:val="center"/>
              <w:rPr>
                <w:color w:val="000000"/>
                <w:kern w:val="0"/>
                <w:sz w:val="20"/>
                <w:szCs w:val="20"/>
              </w:rPr>
            </w:pPr>
            <w:r>
              <w:rPr>
                <w:color w:val="000000"/>
                <w:kern w:val="0"/>
                <w:sz w:val="20"/>
                <w:szCs w:val="20"/>
              </w:rPr>
              <w:t>可持续效益（可选项）</w:t>
            </w:r>
          </w:p>
        </w:tc>
        <w:tc>
          <w:tcPr>
            <w:tcW w:w="1311" w:type="dxa"/>
            <w:vMerge w:val="continue"/>
            <w:vAlign w:val="center"/>
          </w:tcPr>
          <w:p>
            <w:pPr>
              <w:widowControl/>
              <w:spacing w:line="260" w:lineRule="exact"/>
              <w:jc w:val="left"/>
              <w:rPr>
                <w:color w:val="000000"/>
                <w:kern w:val="0"/>
                <w:sz w:val="20"/>
                <w:szCs w:val="20"/>
              </w:rPr>
            </w:pPr>
          </w:p>
        </w:tc>
        <w:tc>
          <w:tcPr>
            <w:tcW w:w="1311" w:type="dxa"/>
          </w:tcPr>
          <w:p>
            <w:pPr>
              <w:widowControl/>
              <w:spacing w:line="260" w:lineRule="exact"/>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618" w:type="dxa"/>
            <w:vMerge w:val="continue"/>
            <w:vAlign w:val="center"/>
          </w:tcPr>
          <w:p>
            <w:pPr>
              <w:widowControl/>
              <w:spacing w:line="260" w:lineRule="exact"/>
              <w:jc w:val="left"/>
              <w:rPr>
                <w:color w:val="000000"/>
                <w:kern w:val="0"/>
                <w:sz w:val="20"/>
                <w:szCs w:val="20"/>
              </w:rPr>
            </w:pPr>
          </w:p>
        </w:tc>
        <w:tc>
          <w:tcPr>
            <w:tcW w:w="2113" w:type="dxa"/>
            <w:vMerge w:val="continue"/>
            <w:vAlign w:val="center"/>
          </w:tcPr>
          <w:p>
            <w:pPr>
              <w:widowControl/>
              <w:spacing w:line="260" w:lineRule="exact"/>
              <w:jc w:val="left"/>
              <w:rPr>
                <w:color w:val="000000"/>
                <w:kern w:val="0"/>
                <w:sz w:val="20"/>
                <w:szCs w:val="20"/>
              </w:rPr>
            </w:pPr>
          </w:p>
        </w:tc>
        <w:tc>
          <w:tcPr>
            <w:tcW w:w="3535" w:type="dxa"/>
            <w:vAlign w:val="center"/>
          </w:tcPr>
          <w:p>
            <w:pPr>
              <w:widowControl/>
              <w:spacing w:line="260" w:lineRule="exact"/>
              <w:jc w:val="center"/>
              <w:rPr>
                <w:color w:val="000000"/>
                <w:kern w:val="0"/>
                <w:sz w:val="20"/>
                <w:szCs w:val="20"/>
              </w:rPr>
            </w:pPr>
            <w:r>
              <w:rPr>
                <w:color w:val="000000"/>
                <w:kern w:val="0"/>
                <w:sz w:val="20"/>
                <w:szCs w:val="20"/>
              </w:rPr>
              <w:t>公平效率（可选项）</w:t>
            </w:r>
          </w:p>
        </w:tc>
        <w:tc>
          <w:tcPr>
            <w:tcW w:w="1311" w:type="dxa"/>
            <w:vMerge w:val="continue"/>
            <w:vAlign w:val="center"/>
          </w:tcPr>
          <w:p>
            <w:pPr>
              <w:widowControl/>
              <w:spacing w:line="260" w:lineRule="exact"/>
              <w:jc w:val="left"/>
              <w:rPr>
                <w:color w:val="000000"/>
                <w:kern w:val="0"/>
                <w:sz w:val="20"/>
                <w:szCs w:val="20"/>
              </w:rPr>
            </w:pPr>
          </w:p>
        </w:tc>
        <w:tc>
          <w:tcPr>
            <w:tcW w:w="1311" w:type="dxa"/>
          </w:tcPr>
          <w:p>
            <w:pPr>
              <w:widowControl/>
              <w:spacing w:line="260" w:lineRule="exact"/>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618" w:type="dxa"/>
            <w:vMerge w:val="continue"/>
            <w:vAlign w:val="center"/>
          </w:tcPr>
          <w:p>
            <w:pPr>
              <w:widowControl/>
              <w:spacing w:line="260" w:lineRule="exact"/>
              <w:jc w:val="left"/>
              <w:rPr>
                <w:color w:val="000000"/>
                <w:kern w:val="0"/>
                <w:sz w:val="20"/>
                <w:szCs w:val="20"/>
              </w:rPr>
            </w:pPr>
          </w:p>
        </w:tc>
        <w:tc>
          <w:tcPr>
            <w:tcW w:w="2113" w:type="dxa"/>
            <w:vMerge w:val="continue"/>
            <w:vAlign w:val="center"/>
          </w:tcPr>
          <w:p>
            <w:pPr>
              <w:widowControl/>
              <w:spacing w:line="260" w:lineRule="exact"/>
              <w:jc w:val="left"/>
              <w:rPr>
                <w:color w:val="000000"/>
                <w:kern w:val="0"/>
                <w:sz w:val="20"/>
                <w:szCs w:val="20"/>
              </w:rPr>
            </w:pPr>
          </w:p>
        </w:tc>
        <w:tc>
          <w:tcPr>
            <w:tcW w:w="3535" w:type="dxa"/>
            <w:vAlign w:val="center"/>
          </w:tcPr>
          <w:p>
            <w:pPr>
              <w:widowControl/>
              <w:spacing w:line="260" w:lineRule="exact"/>
              <w:jc w:val="center"/>
              <w:rPr>
                <w:color w:val="000000"/>
                <w:kern w:val="0"/>
                <w:sz w:val="20"/>
                <w:szCs w:val="20"/>
              </w:rPr>
            </w:pPr>
            <w:r>
              <w:rPr>
                <w:color w:val="000000"/>
                <w:kern w:val="0"/>
                <w:sz w:val="20"/>
                <w:szCs w:val="20"/>
              </w:rPr>
              <w:t>使用效率（可选项）</w:t>
            </w:r>
          </w:p>
        </w:tc>
        <w:tc>
          <w:tcPr>
            <w:tcW w:w="1311" w:type="dxa"/>
            <w:vMerge w:val="continue"/>
            <w:vAlign w:val="center"/>
          </w:tcPr>
          <w:p>
            <w:pPr>
              <w:widowControl/>
              <w:spacing w:line="260" w:lineRule="exact"/>
              <w:jc w:val="left"/>
              <w:rPr>
                <w:color w:val="000000"/>
                <w:kern w:val="0"/>
                <w:sz w:val="20"/>
                <w:szCs w:val="20"/>
              </w:rPr>
            </w:pPr>
          </w:p>
        </w:tc>
        <w:tc>
          <w:tcPr>
            <w:tcW w:w="1311" w:type="dxa"/>
          </w:tcPr>
          <w:p>
            <w:pPr>
              <w:widowControl/>
              <w:spacing w:line="260" w:lineRule="exact"/>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618" w:type="dxa"/>
            <w:vMerge w:val="continue"/>
            <w:vAlign w:val="center"/>
          </w:tcPr>
          <w:p>
            <w:pPr>
              <w:widowControl/>
              <w:spacing w:line="260" w:lineRule="exact"/>
              <w:jc w:val="left"/>
              <w:rPr>
                <w:color w:val="000000"/>
                <w:kern w:val="0"/>
                <w:sz w:val="20"/>
                <w:szCs w:val="20"/>
              </w:rPr>
            </w:pPr>
          </w:p>
        </w:tc>
        <w:tc>
          <w:tcPr>
            <w:tcW w:w="2113" w:type="dxa"/>
            <w:vMerge w:val="continue"/>
            <w:vAlign w:val="center"/>
          </w:tcPr>
          <w:p>
            <w:pPr>
              <w:widowControl/>
              <w:spacing w:line="260" w:lineRule="exact"/>
              <w:jc w:val="left"/>
              <w:rPr>
                <w:color w:val="000000"/>
                <w:kern w:val="0"/>
                <w:sz w:val="20"/>
                <w:szCs w:val="20"/>
              </w:rPr>
            </w:pPr>
          </w:p>
        </w:tc>
        <w:tc>
          <w:tcPr>
            <w:tcW w:w="3535" w:type="dxa"/>
            <w:vAlign w:val="center"/>
          </w:tcPr>
          <w:p>
            <w:pPr>
              <w:widowControl/>
              <w:spacing w:line="260" w:lineRule="exact"/>
              <w:jc w:val="center"/>
              <w:rPr>
                <w:color w:val="000000"/>
                <w:kern w:val="0"/>
                <w:sz w:val="20"/>
                <w:szCs w:val="20"/>
              </w:rPr>
            </w:pPr>
            <w:r>
              <w:rPr>
                <w:color w:val="000000"/>
                <w:kern w:val="0"/>
                <w:sz w:val="20"/>
                <w:szCs w:val="20"/>
              </w:rPr>
              <w:t xml:space="preserve">服务对象满意度    </w:t>
            </w:r>
          </w:p>
        </w:tc>
        <w:tc>
          <w:tcPr>
            <w:tcW w:w="1311" w:type="dxa"/>
            <w:vAlign w:val="center"/>
          </w:tcPr>
          <w:p>
            <w:pPr>
              <w:widowControl/>
              <w:spacing w:line="260" w:lineRule="exact"/>
              <w:jc w:val="center"/>
              <w:rPr>
                <w:color w:val="000000"/>
                <w:kern w:val="0"/>
                <w:sz w:val="20"/>
                <w:szCs w:val="20"/>
              </w:rPr>
            </w:pPr>
            <w:r>
              <w:rPr>
                <w:color w:val="000000"/>
                <w:kern w:val="0"/>
                <w:sz w:val="20"/>
                <w:szCs w:val="20"/>
              </w:rPr>
              <w:t>10</w:t>
            </w:r>
          </w:p>
        </w:tc>
        <w:tc>
          <w:tcPr>
            <w:tcW w:w="1311" w:type="dxa"/>
          </w:tcPr>
          <w:p>
            <w:pPr>
              <w:widowControl/>
              <w:spacing w:line="260" w:lineRule="exact"/>
              <w:jc w:val="center"/>
              <w:rPr>
                <w:color w:val="000000"/>
                <w:kern w:val="0"/>
                <w:szCs w:val="21"/>
              </w:rPr>
            </w:pPr>
            <w:r>
              <w:rPr>
                <w:rFonts w:hint="eastAsia"/>
                <w:color w:val="000000"/>
                <w:kern w:val="0"/>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618" w:type="dxa"/>
            <w:vAlign w:val="center"/>
          </w:tcPr>
          <w:p>
            <w:pPr>
              <w:widowControl/>
              <w:spacing w:line="260" w:lineRule="exact"/>
              <w:jc w:val="left"/>
              <w:rPr>
                <w:color w:val="000000"/>
                <w:kern w:val="0"/>
                <w:sz w:val="20"/>
                <w:szCs w:val="20"/>
              </w:rPr>
            </w:pPr>
            <w:r>
              <w:rPr>
                <w:color w:val="000000"/>
                <w:kern w:val="0"/>
                <w:sz w:val="20"/>
                <w:szCs w:val="20"/>
              </w:rPr>
              <w:t>总分</w:t>
            </w:r>
          </w:p>
        </w:tc>
        <w:tc>
          <w:tcPr>
            <w:tcW w:w="8270" w:type="dxa"/>
            <w:gridSpan w:val="4"/>
            <w:vAlign w:val="center"/>
          </w:tcPr>
          <w:p>
            <w:pPr>
              <w:widowControl/>
              <w:spacing w:line="260" w:lineRule="exact"/>
              <w:jc w:val="center"/>
              <w:rPr>
                <w:color w:val="000000"/>
                <w:kern w:val="0"/>
                <w:sz w:val="15"/>
                <w:szCs w:val="15"/>
              </w:rPr>
            </w:pPr>
            <w:r>
              <w:rPr>
                <w:color w:val="000000"/>
                <w:kern w:val="0"/>
                <w:szCs w:val="21"/>
              </w:rPr>
              <w:t>96</w:t>
            </w: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该项目实施非常有</w:t>
      </w:r>
      <w:r>
        <w:rPr>
          <w:rFonts w:ascii="仿宋" w:hAnsi="仿宋" w:eastAsia="仿宋" w:cs="仿宋_GB2312"/>
          <w:sz w:val="32"/>
          <w:szCs w:val="32"/>
        </w:rPr>
        <w:t>必要性和可行性</w:t>
      </w:r>
      <w:r>
        <w:rPr>
          <w:rFonts w:hint="eastAsia" w:ascii="仿宋" w:hAnsi="仿宋" w:eastAsia="仿宋" w:cs="仿宋_GB2312"/>
          <w:sz w:val="32"/>
          <w:szCs w:val="32"/>
        </w:rPr>
        <w:t>，是开展纪检监察工作保障。</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w:t>
      </w:r>
      <w:r>
        <w:rPr>
          <w:rFonts w:hint="eastAsia" w:ascii="仿宋" w:hAnsi="仿宋" w:eastAsia="仿宋" w:cs="仿宋_GB2312"/>
          <w:sz w:val="32"/>
          <w:szCs w:val="32"/>
        </w:rPr>
        <w:t>使用是按实际发生额进行报账，报账时严格遵守财务报账规定，层层审核把关。</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w:t>
      </w:r>
      <w:r>
        <w:rPr>
          <w:rFonts w:hint="eastAsia" w:ascii="仿宋" w:hAnsi="仿宋" w:eastAsia="仿宋" w:cs="仿宋_GB2312"/>
          <w:sz w:val="32"/>
          <w:szCs w:val="32"/>
        </w:rPr>
        <w:t>较好</w:t>
      </w:r>
      <w:r>
        <w:rPr>
          <w:rFonts w:ascii="仿宋" w:hAnsi="仿宋" w:eastAsia="仿宋" w:cs="仿宋_GB2312"/>
          <w:sz w:val="32"/>
          <w:szCs w:val="32"/>
        </w:rPr>
        <w:t>，项目效益</w:t>
      </w:r>
      <w:r>
        <w:rPr>
          <w:rFonts w:hint="eastAsia" w:ascii="仿宋" w:hAnsi="仿宋" w:eastAsia="仿宋" w:cs="仿宋_GB2312"/>
          <w:sz w:val="32"/>
          <w:szCs w:val="32"/>
        </w:rPr>
        <w:t>逐渐显现，人民群众对党和政府的满意度正在逐渐增加</w:t>
      </w:r>
      <w:r>
        <w:rPr>
          <w:rFonts w:ascii="仿宋" w:hAnsi="仿宋" w:eastAsia="仿宋" w:cs="仿宋_GB2312"/>
          <w:sz w:val="32"/>
          <w:szCs w:val="32"/>
        </w:rPr>
        <w:t>。</w:t>
      </w:r>
    </w:p>
    <w:p>
      <w:pPr>
        <w:pStyle w:val="23"/>
        <w:numPr>
          <w:ilvl w:val="0"/>
          <w:numId w:val="2"/>
        </w:numPr>
        <w:spacing w:line="580" w:lineRule="exact"/>
        <w:ind w:firstLineChars="0"/>
        <w:rPr>
          <w:rFonts w:ascii="仿宋" w:hAnsi="仿宋" w:eastAsia="仿宋" w:cs="仿宋_GB2312"/>
          <w:sz w:val="32"/>
          <w:szCs w:val="32"/>
        </w:rPr>
      </w:pPr>
      <w:r>
        <w:rPr>
          <w:rFonts w:ascii="仿宋" w:hAnsi="仿宋" w:eastAsia="仿宋" w:cs="仿宋_GB2312"/>
          <w:sz w:val="32"/>
          <w:szCs w:val="32"/>
        </w:rPr>
        <w:t>存在主要问题</w:t>
      </w:r>
    </w:p>
    <w:p>
      <w:pPr>
        <w:pStyle w:val="23"/>
        <w:spacing w:line="580" w:lineRule="exact"/>
        <w:ind w:left="1360" w:firstLine="0" w:firstLineChars="0"/>
        <w:rPr>
          <w:rFonts w:ascii="仿宋" w:hAnsi="仿宋" w:eastAsia="仿宋" w:cs="仿宋_GB2312"/>
          <w:sz w:val="32"/>
          <w:szCs w:val="32"/>
        </w:rPr>
      </w:pPr>
      <w:r>
        <w:rPr>
          <w:rFonts w:hint="eastAsia" w:ascii="仿宋" w:hAnsi="仿宋" w:eastAsia="仿宋" w:cs="仿宋_GB2312"/>
          <w:sz w:val="32"/>
          <w:szCs w:val="32"/>
        </w:rPr>
        <w:t>无</w:t>
      </w:r>
    </w:p>
    <w:p>
      <w:pPr>
        <w:pStyle w:val="23"/>
        <w:numPr>
          <w:ilvl w:val="0"/>
          <w:numId w:val="2"/>
        </w:numPr>
        <w:spacing w:line="580" w:lineRule="exact"/>
        <w:ind w:firstLineChars="0"/>
        <w:rPr>
          <w:rFonts w:ascii="仿宋" w:hAnsi="仿宋" w:eastAsia="仿宋" w:cs="仿宋_GB2312"/>
          <w:sz w:val="32"/>
          <w:szCs w:val="32"/>
        </w:rPr>
      </w:pPr>
      <w:r>
        <w:rPr>
          <w:rFonts w:ascii="仿宋" w:hAnsi="仿宋" w:eastAsia="仿宋" w:cs="仿宋_GB2312"/>
          <w:sz w:val="32"/>
          <w:szCs w:val="32"/>
        </w:rPr>
        <w:t>相关措施建议</w:t>
      </w:r>
    </w:p>
    <w:p>
      <w:pPr>
        <w:pStyle w:val="23"/>
        <w:spacing w:line="580" w:lineRule="exact"/>
        <w:ind w:left="1360" w:firstLine="0" w:firstLineChars="0"/>
        <w:rPr>
          <w:rStyle w:val="24"/>
          <w:rFonts w:ascii="仿宋" w:hAnsi="仿宋" w:eastAsia="仿宋" w:cs="仿宋_GB2312"/>
          <w:b w:val="0"/>
          <w:bCs w:val="0"/>
          <w:kern w:val="2"/>
          <w:sz w:val="32"/>
          <w:szCs w:val="32"/>
        </w:rPr>
      </w:pPr>
      <w:r>
        <w:rPr>
          <w:rStyle w:val="24"/>
          <w:rFonts w:hint="eastAsia" w:ascii="仿宋" w:hAnsi="仿宋" w:eastAsia="仿宋" w:cs="仿宋_GB2312"/>
          <w:b w:val="0"/>
          <w:bCs w:val="0"/>
          <w:kern w:val="2"/>
          <w:sz w:val="32"/>
          <w:szCs w:val="32"/>
        </w:rPr>
        <w:t>无</w:t>
      </w: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3"/>
        <w:rPr>
          <w:rStyle w:val="24"/>
          <w:rFonts w:ascii="仿宋" w:hAnsi="仿宋" w:eastAsia="仿宋"/>
          <w:b w:val="0"/>
          <w:bCs w:val="0"/>
          <w:sz w:val="32"/>
          <w:szCs w:val="32"/>
        </w:rPr>
      </w:pPr>
      <w:r>
        <w:rPr>
          <w:rStyle w:val="24"/>
          <w:rFonts w:hint="eastAsia" w:ascii="仿宋" w:hAnsi="仿宋" w:eastAsia="仿宋"/>
          <w:b w:val="0"/>
          <w:bCs w:val="0"/>
          <w:sz w:val="32"/>
          <w:szCs w:val="32"/>
        </w:rPr>
        <w:t>附件</w:t>
      </w:r>
      <w:r>
        <w:rPr>
          <w:rStyle w:val="24"/>
          <w:rFonts w:ascii="仿宋" w:hAnsi="仿宋" w:eastAsia="仿宋"/>
          <w:b w:val="0"/>
          <w:bCs w:val="0"/>
          <w:sz w:val="32"/>
          <w:szCs w:val="32"/>
        </w:rPr>
        <w:t>3</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2018年“廉政风险防控平台”项目</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该项目目标通过廉政风险防控平台使用实现风险防控智能化、防控工作规范化和风险预警及时化。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w:t>
      </w:r>
      <w:r>
        <w:rPr>
          <w:rFonts w:hint="eastAsia" w:ascii="仿宋" w:hAnsi="仿宋" w:eastAsia="仿宋" w:cs="仿宋_GB2312"/>
          <w:sz w:val="32"/>
          <w:szCs w:val="32"/>
        </w:rPr>
        <w:t>是完成情况良好，得分9</w:t>
      </w:r>
      <w:r>
        <w:rPr>
          <w:rFonts w:ascii="仿宋" w:hAnsi="仿宋" w:eastAsia="仿宋" w:cs="仿宋_GB2312"/>
          <w:sz w:val="32"/>
          <w:szCs w:val="32"/>
        </w:rPr>
        <w:t>2</w:t>
      </w:r>
      <w:r>
        <w:rPr>
          <w:rFonts w:hint="eastAsia" w:ascii="仿宋" w:hAnsi="仿宋" w:eastAsia="仿宋" w:cs="仿宋_GB2312"/>
          <w:sz w:val="32"/>
          <w:szCs w:val="32"/>
        </w:rPr>
        <w:t>分。</w:t>
      </w:r>
    </w:p>
    <w:p>
      <w:pPr>
        <w:spacing w:line="580" w:lineRule="exact"/>
        <w:ind w:firstLine="640" w:firstLineChars="200"/>
        <w:rPr>
          <w:rFonts w:ascii="仿宋" w:hAnsi="仿宋" w:eastAsia="仿宋" w:cs="仿宋_GB2312"/>
          <w:sz w:val="32"/>
          <w:szCs w:val="32"/>
        </w:rPr>
      </w:pPr>
    </w:p>
    <w:p>
      <w:pPr>
        <w:jc w:val="center"/>
        <w:rPr>
          <w:rFonts w:eastAsia="黑体"/>
          <w:color w:val="000000"/>
          <w:sz w:val="32"/>
          <w:szCs w:val="32"/>
        </w:rPr>
      </w:pPr>
      <w:r>
        <w:rPr>
          <w:rFonts w:eastAsia="黑体"/>
          <w:color w:val="000000"/>
          <w:sz w:val="32"/>
          <w:szCs w:val="32"/>
        </w:rPr>
        <w:t>2018年项目支出绩效评价得分表2</w:t>
      </w:r>
    </w:p>
    <w:tbl>
      <w:tblPr>
        <w:tblStyle w:val="12"/>
        <w:tblW w:w="9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113"/>
        <w:gridCol w:w="3535"/>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1618" w:type="dxa"/>
            <w:vAlign w:val="center"/>
          </w:tcPr>
          <w:p>
            <w:pPr>
              <w:widowControl/>
              <w:spacing w:line="260" w:lineRule="exact"/>
              <w:jc w:val="center"/>
              <w:rPr>
                <w:b/>
                <w:bCs/>
                <w:color w:val="000000"/>
                <w:kern w:val="0"/>
                <w:sz w:val="20"/>
                <w:szCs w:val="20"/>
              </w:rPr>
            </w:pPr>
            <w:r>
              <w:rPr>
                <w:b/>
                <w:bCs/>
                <w:color w:val="000000"/>
                <w:kern w:val="0"/>
                <w:sz w:val="20"/>
                <w:szCs w:val="20"/>
              </w:rPr>
              <w:t>单位名称/</w:t>
            </w:r>
          </w:p>
          <w:p>
            <w:pPr>
              <w:widowControl/>
              <w:spacing w:line="260" w:lineRule="exact"/>
              <w:jc w:val="center"/>
              <w:rPr>
                <w:b/>
                <w:bCs/>
                <w:color w:val="000000"/>
                <w:kern w:val="0"/>
                <w:sz w:val="20"/>
                <w:szCs w:val="20"/>
              </w:rPr>
            </w:pPr>
            <w:r>
              <w:rPr>
                <w:b/>
                <w:bCs/>
                <w:color w:val="000000"/>
                <w:kern w:val="0"/>
                <w:sz w:val="20"/>
                <w:szCs w:val="20"/>
              </w:rPr>
              <w:t>项目名称</w:t>
            </w:r>
          </w:p>
        </w:tc>
        <w:tc>
          <w:tcPr>
            <w:tcW w:w="8270" w:type="dxa"/>
            <w:gridSpan w:val="4"/>
            <w:vAlign w:val="center"/>
          </w:tcPr>
          <w:p>
            <w:pPr>
              <w:widowControl/>
              <w:spacing w:line="260" w:lineRule="exact"/>
              <w:jc w:val="center"/>
              <w:rPr>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jc w:val="center"/>
        </w:trPr>
        <w:tc>
          <w:tcPr>
            <w:tcW w:w="1618" w:type="dxa"/>
            <w:vAlign w:val="center"/>
          </w:tcPr>
          <w:p>
            <w:pPr>
              <w:widowControl/>
              <w:spacing w:line="260" w:lineRule="exact"/>
              <w:jc w:val="center"/>
              <w:rPr>
                <w:b/>
                <w:bCs/>
                <w:color w:val="000000"/>
                <w:kern w:val="0"/>
                <w:sz w:val="20"/>
                <w:szCs w:val="20"/>
              </w:rPr>
            </w:pPr>
            <w:r>
              <w:rPr>
                <w:b/>
                <w:bCs/>
                <w:color w:val="000000"/>
                <w:kern w:val="0"/>
                <w:sz w:val="20"/>
                <w:szCs w:val="20"/>
              </w:rPr>
              <w:t>一级</w:t>
            </w:r>
          </w:p>
          <w:p>
            <w:pPr>
              <w:widowControl/>
              <w:spacing w:line="260" w:lineRule="exact"/>
              <w:jc w:val="center"/>
              <w:rPr>
                <w:b/>
                <w:bCs/>
                <w:color w:val="000000"/>
                <w:kern w:val="0"/>
                <w:sz w:val="20"/>
                <w:szCs w:val="20"/>
              </w:rPr>
            </w:pPr>
            <w:r>
              <w:rPr>
                <w:b/>
                <w:bCs/>
                <w:color w:val="000000"/>
                <w:kern w:val="0"/>
                <w:sz w:val="20"/>
                <w:szCs w:val="20"/>
              </w:rPr>
              <w:t>指标</w:t>
            </w:r>
          </w:p>
        </w:tc>
        <w:tc>
          <w:tcPr>
            <w:tcW w:w="2113" w:type="dxa"/>
            <w:vAlign w:val="center"/>
          </w:tcPr>
          <w:p>
            <w:pPr>
              <w:widowControl/>
              <w:spacing w:line="260" w:lineRule="exact"/>
              <w:jc w:val="center"/>
              <w:rPr>
                <w:b/>
                <w:bCs/>
                <w:color w:val="000000"/>
                <w:kern w:val="0"/>
                <w:sz w:val="20"/>
                <w:szCs w:val="20"/>
              </w:rPr>
            </w:pPr>
            <w:r>
              <w:rPr>
                <w:b/>
                <w:bCs/>
                <w:color w:val="000000"/>
                <w:kern w:val="0"/>
                <w:sz w:val="20"/>
                <w:szCs w:val="20"/>
              </w:rPr>
              <w:t>二级</w:t>
            </w:r>
          </w:p>
          <w:p>
            <w:pPr>
              <w:widowControl/>
              <w:spacing w:line="260" w:lineRule="exact"/>
              <w:jc w:val="center"/>
              <w:rPr>
                <w:b/>
                <w:bCs/>
                <w:color w:val="000000"/>
                <w:kern w:val="0"/>
                <w:sz w:val="20"/>
                <w:szCs w:val="20"/>
              </w:rPr>
            </w:pPr>
            <w:r>
              <w:rPr>
                <w:b/>
                <w:bCs/>
                <w:color w:val="000000"/>
                <w:kern w:val="0"/>
                <w:sz w:val="20"/>
                <w:szCs w:val="20"/>
              </w:rPr>
              <w:t>指标</w:t>
            </w:r>
          </w:p>
        </w:tc>
        <w:tc>
          <w:tcPr>
            <w:tcW w:w="3535" w:type="dxa"/>
            <w:vAlign w:val="center"/>
          </w:tcPr>
          <w:p>
            <w:pPr>
              <w:widowControl/>
              <w:spacing w:line="260" w:lineRule="exact"/>
              <w:jc w:val="center"/>
              <w:rPr>
                <w:b/>
                <w:bCs/>
                <w:color w:val="000000"/>
                <w:kern w:val="0"/>
                <w:sz w:val="20"/>
                <w:szCs w:val="20"/>
              </w:rPr>
            </w:pPr>
            <w:r>
              <w:rPr>
                <w:b/>
                <w:bCs/>
                <w:color w:val="000000"/>
                <w:kern w:val="0"/>
                <w:sz w:val="20"/>
                <w:szCs w:val="20"/>
              </w:rPr>
              <w:t>三级指标</w:t>
            </w:r>
          </w:p>
        </w:tc>
        <w:tc>
          <w:tcPr>
            <w:tcW w:w="1311" w:type="dxa"/>
            <w:vAlign w:val="center"/>
          </w:tcPr>
          <w:p>
            <w:pPr>
              <w:widowControl/>
              <w:spacing w:line="260" w:lineRule="exact"/>
              <w:jc w:val="center"/>
              <w:rPr>
                <w:b/>
                <w:bCs/>
                <w:color w:val="000000"/>
                <w:kern w:val="0"/>
                <w:sz w:val="20"/>
                <w:szCs w:val="20"/>
              </w:rPr>
            </w:pPr>
            <w:r>
              <w:rPr>
                <w:b/>
                <w:bCs/>
                <w:color w:val="000000"/>
                <w:kern w:val="0"/>
                <w:sz w:val="20"/>
                <w:szCs w:val="20"/>
              </w:rPr>
              <w:t>分值</w:t>
            </w:r>
          </w:p>
        </w:tc>
        <w:tc>
          <w:tcPr>
            <w:tcW w:w="1311" w:type="dxa"/>
            <w:vAlign w:val="center"/>
          </w:tcPr>
          <w:p>
            <w:pPr>
              <w:widowControl/>
              <w:spacing w:line="260" w:lineRule="exact"/>
              <w:jc w:val="center"/>
              <w:rPr>
                <w:b/>
                <w:bCs/>
                <w:color w:val="000000"/>
                <w:kern w:val="0"/>
                <w:sz w:val="18"/>
                <w:szCs w:val="18"/>
              </w:rPr>
            </w:pPr>
            <w:r>
              <w:rPr>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18" w:type="dxa"/>
            <w:vMerge w:val="restart"/>
            <w:textDirection w:val="tbRlV"/>
            <w:vAlign w:val="center"/>
          </w:tcPr>
          <w:p>
            <w:pPr>
              <w:widowControl/>
              <w:spacing w:line="260" w:lineRule="exact"/>
              <w:jc w:val="center"/>
              <w:rPr>
                <w:color w:val="000000"/>
                <w:kern w:val="0"/>
                <w:sz w:val="20"/>
                <w:szCs w:val="20"/>
              </w:rPr>
            </w:pPr>
            <w:r>
              <w:rPr>
                <w:color w:val="000000"/>
                <w:kern w:val="0"/>
                <w:sz w:val="20"/>
                <w:szCs w:val="20"/>
              </w:rPr>
              <w:t>（20分）</w:t>
            </w:r>
            <w:r>
              <w:rPr>
                <w:color w:val="000000"/>
                <w:kern w:val="0"/>
                <w:sz w:val="20"/>
                <w:szCs w:val="20"/>
              </w:rPr>
              <w:br w:type="textWrapping"/>
            </w:r>
            <w:r>
              <w:rPr>
                <w:color w:val="000000"/>
                <w:kern w:val="0"/>
                <w:sz w:val="20"/>
                <w:szCs w:val="20"/>
              </w:rPr>
              <w:t>项目决策</w:t>
            </w:r>
          </w:p>
        </w:tc>
        <w:tc>
          <w:tcPr>
            <w:tcW w:w="2113" w:type="dxa"/>
            <w:vMerge w:val="restart"/>
            <w:textDirection w:val="tbRlV"/>
            <w:vAlign w:val="center"/>
          </w:tcPr>
          <w:p>
            <w:pPr>
              <w:widowControl/>
              <w:spacing w:line="260" w:lineRule="exact"/>
              <w:jc w:val="center"/>
              <w:rPr>
                <w:color w:val="000000"/>
                <w:kern w:val="0"/>
                <w:sz w:val="20"/>
                <w:szCs w:val="20"/>
              </w:rPr>
            </w:pPr>
            <w:r>
              <w:rPr>
                <w:color w:val="000000"/>
                <w:kern w:val="0"/>
                <w:sz w:val="20"/>
                <w:szCs w:val="20"/>
              </w:rPr>
              <w:t>（10分）</w:t>
            </w:r>
            <w:r>
              <w:rPr>
                <w:color w:val="000000"/>
                <w:kern w:val="0"/>
                <w:sz w:val="20"/>
                <w:szCs w:val="20"/>
              </w:rPr>
              <w:br w:type="textWrapping"/>
            </w:r>
            <w:r>
              <w:rPr>
                <w:color w:val="000000"/>
                <w:kern w:val="0"/>
                <w:sz w:val="20"/>
                <w:szCs w:val="20"/>
              </w:rPr>
              <w:t>科学决策</w:t>
            </w:r>
          </w:p>
        </w:tc>
        <w:tc>
          <w:tcPr>
            <w:tcW w:w="3535" w:type="dxa"/>
            <w:vAlign w:val="center"/>
          </w:tcPr>
          <w:p>
            <w:pPr>
              <w:widowControl/>
              <w:spacing w:line="260" w:lineRule="exact"/>
              <w:jc w:val="center"/>
              <w:rPr>
                <w:color w:val="000000"/>
                <w:kern w:val="0"/>
                <w:sz w:val="20"/>
                <w:szCs w:val="20"/>
              </w:rPr>
            </w:pPr>
            <w:r>
              <w:rPr>
                <w:color w:val="000000"/>
                <w:kern w:val="0"/>
                <w:sz w:val="20"/>
                <w:szCs w:val="20"/>
              </w:rPr>
              <w:t>必要性</w:t>
            </w:r>
            <w:r>
              <w:rPr>
                <w:color w:val="000000"/>
                <w:kern w:val="0"/>
                <w:sz w:val="20"/>
                <w:szCs w:val="20"/>
              </w:rPr>
              <w:br w:type="textWrapping"/>
            </w:r>
            <w:r>
              <w:rPr>
                <w:color w:val="000000"/>
                <w:kern w:val="0"/>
                <w:sz w:val="20"/>
                <w:szCs w:val="20"/>
              </w:rPr>
              <w:t>（政策依据)</w:t>
            </w:r>
          </w:p>
        </w:tc>
        <w:tc>
          <w:tcPr>
            <w:tcW w:w="1311" w:type="dxa"/>
            <w:vAlign w:val="center"/>
          </w:tcPr>
          <w:p>
            <w:pPr>
              <w:widowControl/>
              <w:spacing w:line="260" w:lineRule="exact"/>
              <w:jc w:val="center"/>
              <w:rPr>
                <w:color w:val="000000"/>
                <w:kern w:val="0"/>
                <w:sz w:val="20"/>
                <w:szCs w:val="20"/>
              </w:rPr>
            </w:pPr>
            <w:r>
              <w:rPr>
                <w:color w:val="000000"/>
                <w:kern w:val="0"/>
                <w:sz w:val="20"/>
                <w:szCs w:val="20"/>
              </w:rPr>
              <w:t>5</w:t>
            </w:r>
          </w:p>
        </w:tc>
        <w:tc>
          <w:tcPr>
            <w:tcW w:w="1311" w:type="dxa"/>
          </w:tcPr>
          <w:p>
            <w:pPr>
              <w:widowControl/>
              <w:spacing w:line="260" w:lineRule="exact"/>
              <w:jc w:val="center"/>
              <w:rPr>
                <w:color w:val="000000"/>
                <w:kern w:val="0"/>
                <w:szCs w:val="21"/>
              </w:rPr>
            </w:pPr>
            <w:r>
              <w:rPr>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618" w:type="dxa"/>
            <w:vMerge w:val="continue"/>
            <w:vAlign w:val="center"/>
          </w:tcPr>
          <w:p>
            <w:pPr>
              <w:widowControl/>
              <w:spacing w:line="260" w:lineRule="exact"/>
              <w:jc w:val="left"/>
              <w:rPr>
                <w:color w:val="000000"/>
                <w:kern w:val="0"/>
                <w:sz w:val="20"/>
                <w:szCs w:val="20"/>
              </w:rPr>
            </w:pPr>
          </w:p>
        </w:tc>
        <w:tc>
          <w:tcPr>
            <w:tcW w:w="2113" w:type="dxa"/>
            <w:vMerge w:val="continue"/>
            <w:vAlign w:val="center"/>
          </w:tcPr>
          <w:p>
            <w:pPr>
              <w:widowControl/>
              <w:spacing w:line="260" w:lineRule="exact"/>
              <w:jc w:val="left"/>
              <w:rPr>
                <w:color w:val="000000"/>
                <w:kern w:val="0"/>
                <w:sz w:val="20"/>
                <w:szCs w:val="20"/>
              </w:rPr>
            </w:pPr>
          </w:p>
        </w:tc>
        <w:tc>
          <w:tcPr>
            <w:tcW w:w="3535" w:type="dxa"/>
            <w:vAlign w:val="center"/>
          </w:tcPr>
          <w:p>
            <w:pPr>
              <w:widowControl/>
              <w:spacing w:line="260" w:lineRule="exact"/>
              <w:jc w:val="center"/>
              <w:rPr>
                <w:color w:val="000000"/>
                <w:kern w:val="0"/>
                <w:sz w:val="20"/>
                <w:szCs w:val="20"/>
              </w:rPr>
            </w:pPr>
            <w:r>
              <w:rPr>
                <w:color w:val="000000"/>
                <w:kern w:val="0"/>
                <w:sz w:val="20"/>
                <w:szCs w:val="20"/>
              </w:rPr>
              <w:t>可行性</w:t>
            </w:r>
            <w:r>
              <w:rPr>
                <w:color w:val="000000"/>
                <w:kern w:val="0"/>
                <w:sz w:val="20"/>
                <w:szCs w:val="20"/>
              </w:rPr>
              <w:br w:type="textWrapping"/>
            </w:r>
            <w:r>
              <w:rPr>
                <w:color w:val="000000"/>
                <w:kern w:val="0"/>
                <w:sz w:val="20"/>
                <w:szCs w:val="20"/>
              </w:rPr>
              <w:t>（政策完善）</w:t>
            </w:r>
          </w:p>
        </w:tc>
        <w:tc>
          <w:tcPr>
            <w:tcW w:w="1311" w:type="dxa"/>
            <w:vAlign w:val="center"/>
          </w:tcPr>
          <w:p>
            <w:pPr>
              <w:widowControl/>
              <w:spacing w:line="260" w:lineRule="exact"/>
              <w:jc w:val="center"/>
              <w:rPr>
                <w:color w:val="000000"/>
                <w:kern w:val="0"/>
                <w:sz w:val="20"/>
                <w:szCs w:val="20"/>
              </w:rPr>
            </w:pPr>
            <w:r>
              <w:rPr>
                <w:color w:val="000000"/>
                <w:kern w:val="0"/>
                <w:sz w:val="20"/>
                <w:szCs w:val="20"/>
              </w:rPr>
              <w:t>5</w:t>
            </w:r>
          </w:p>
        </w:tc>
        <w:tc>
          <w:tcPr>
            <w:tcW w:w="1311" w:type="dxa"/>
          </w:tcPr>
          <w:p>
            <w:pPr>
              <w:widowControl/>
              <w:spacing w:line="260" w:lineRule="exact"/>
              <w:jc w:val="center"/>
              <w:rPr>
                <w:color w:val="000000"/>
                <w:kern w:val="0"/>
                <w:szCs w:val="21"/>
              </w:rPr>
            </w:pPr>
            <w:r>
              <w:rPr>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1618" w:type="dxa"/>
            <w:vMerge w:val="continue"/>
            <w:vAlign w:val="center"/>
          </w:tcPr>
          <w:p>
            <w:pPr>
              <w:widowControl/>
              <w:spacing w:line="260" w:lineRule="exact"/>
              <w:jc w:val="left"/>
              <w:rPr>
                <w:color w:val="000000"/>
                <w:kern w:val="0"/>
                <w:sz w:val="20"/>
                <w:szCs w:val="20"/>
              </w:rPr>
            </w:pPr>
          </w:p>
        </w:tc>
        <w:tc>
          <w:tcPr>
            <w:tcW w:w="2113" w:type="dxa"/>
            <w:vMerge w:val="restart"/>
            <w:textDirection w:val="tbRlV"/>
            <w:vAlign w:val="center"/>
          </w:tcPr>
          <w:p>
            <w:pPr>
              <w:widowControl/>
              <w:spacing w:line="260" w:lineRule="exact"/>
              <w:jc w:val="center"/>
              <w:rPr>
                <w:color w:val="000000"/>
                <w:kern w:val="0"/>
                <w:sz w:val="20"/>
                <w:szCs w:val="20"/>
              </w:rPr>
            </w:pPr>
            <w:r>
              <w:rPr>
                <w:color w:val="000000"/>
                <w:kern w:val="0"/>
                <w:sz w:val="20"/>
                <w:szCs w:val="20"/>
              </w:rPr>
              <w:t>（10）</w:t>
            </w:r>
            <w:r>
              <w:rPr>
                <w:color w:val="000000"/>
                <w:kern w:val="0"/>
                <w:sz w:val="20"/>
                <w:szCs w:val="20"/>
              </w:rPr>
              <w:br w:type="textWrapping"/>
            </w:r>
            <w:r>
              <w:rPr>
                <w:color w:val="000000"/>
                <w:kern w:val="0"/>
                <w:sz w:val="20"/>
                <w:szCs w:val="20"/>
              </w:rPr>
              <w:t xml:space="preserve">绩效目标    </w:t>
            </w:r>
          </w:p>
        </w:tc>
        <w:tc>
          <w:tcPr>
            <w:tcW w:w="3535" w:type="dxa"/>
            <w:vAlign w:val="center"/>
          </w:tcPr>
          <w:p>
            <w:pPr>
              <w:widowControl/>
              <w:spacing w:line="260" w:lineRule="exact"/>
              <w:jc w:val="center"/>
              <w:rPr>
                <w:color w:val="000000"/>
                <w:kern w:val="0"/>
                <w:sz w:val="20"/>
                <w:szCs w:val="20"/>
              </w:rPr>
            </w:pPr>
            <w:r>
              <w:rPr>
                <w:color w:val="000000"/>
                <w:kern w:val="0"/>
                <w:sz w:val="20"/>
                <w:szCs w:val="20"/>
              </w:rPr>
              <w:t>明确性</w:t>
            </w:r>
          </w:p>
        </w:tc>
        <w:tc>
          <w:tcPr>
            <w:tcW w:w="1311" w:type="dxa"/>
            <w:vAlign w:val="center"/>
          </w:tcPr>
          <w:p>
            <w:pPr>
              <w:widowControl/>
              <w:spacing w:line="260" w:lineRule="exact"/>
              <w:jc w:val="center"/>
              <w:rPr>
                <w:color w:val="000000"/>
                <w:kern w:val="0"/>
                <w:sz w:val="20"/>
                <w:szCs w:val="20"/>
              </w:rPr>
            </w:pPr>
            <w:r>
              <w:rPr>
                <w:color w:val="000000"/>
                <w:kern w:val="0"/>
                <w:sz w:val="20"/>
                <w:szCs w:val="20"/>
              </w:rPr>
              <w:t>5</w:t>
            </w:r>
          </w:p>
        </w:tc>
        <w:tc>
          <w:tcPr>
            <w:tcW w:w="1311" w:type="dxa"/>
          </w:tcPr>
          <w:p>
            <w:pPr>
              <w:widowControl/>
              <w:spacing w:line="260" w:lineRule="exact"/>
              <w:jc w:val="center"/>
              <w:rPr>
                <w:color w:val="000000"/>
                <w:kern w:val="0"/>
                <w:szCs w:val="21"/>
              </w:rPr>
            </w:pPr>
            <w:r>
              <w:rPr>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618" w:type="dxa"/>
            <w:vMerge w:val="continue"/>
            <w:vAlign w:val="center"/>
          </w:tcPr>
          <w:p>
            <w:pPr>
              <w:widowControl/>
              <w:spacing w:line="260" w:lineRule="exact"/>
              <w:jc w:val="left"/>
              <w:rPr>
                <w:color w:val="000000"/>
                <w:kern w:val="0"/>
                <w:sz w:val="20"/>
                <w:szCs w:val="20"/>
              </w:rPr>
            </w:pPr>
          </w:p>
        </w:tc>
        <w:tc>
          <w:tcPr>
            <w:tcW w:w="2113" w:type="dxa"/>
            <w:vMerge w:val="continue"/>
            <w:vAlign w:val="center"/>
          </w:tcPr>
          <w:p>
            <w:pPr>
              <w:widowControl/>
              <w:spacing w:line="260" w:lineRule="exact"/>
              <w:jc w:val="left"/>
              <w:rPr>
                <w:color w:val="000000"/>
                <w:kern w:val="0"/>
                <w:sz w:val="20"/>
                <w:szCs w:val="20"/>
              </w:rPr>
            </w:pPr>
          </w:p>
        </w:tc>
        <w:tc>
          <w:tcPr>
            <w:tcW w:w="3535" w:type="dxa"/>
            <w:vAlign w:val="center"/>
          </w:tcPr>
          <w:p>
            <w:pPr>
              <w:widowControl/>
              <w:spacing w:line="260" w:lineRule="exact"/>
              <w:jc w:val="center"/>
              <w:rPr>
                <w:color w:val="000000"/>
                <w:kern w:val="0"/>
                <w:sz w:val="20"/>
                <w:szCs w:val="20"/>
              </w:rPr>
            </w:pPr>
            <w:r>
              <w:rPr>
                <w:color w:val="000000"/>
                <w:kern w:val="0"/>
                <w:sz w:val="20"/>
                <w:szCs w:val="20"/>
              </w:rPr>
              <w:t>合理性</w:t>
            </w:r>
          </w:p>
        </w:tc>
        <w:tc>
          <w:tcPr>
            <w:tcW w:w="1311" w:type="dxa"/>
            <w:vAlign w:val="center"/>
          </w:tcPr>
          <w:p>
            <w:pPr>
              <w:widowControl/>
              <w:spacing w:line="260" w:lineRule="exact"/>
              <w:jc w:val="center"/>
              <w:rPr>
                <w:color w:val="000000"/>
                <w:kern w:val="0"/>
                <w:sz w:val="20"/>
                <w:szCs w:val="20"/>
              </w:rPr>
            </w:pPr>
            <w:r>
              <w:rPr>
                <w:color w:val="000000"/>
                <w:kern w:val="0"/>
                <w:sz w:val="20"/>
                <w:szCs w:val="20"/>
              </w:rPr>
              <w:t>5</w:t>
            </w:r>
          </w:p>
        </w:tc>
        <w:tc>
          <w:tcPr>
            <w:tcW w:w="1311" w:type="dxa"/>
          </w:tcPr>
          <w:p>
            <w:pPr>
              <w:widowControl/>
              <w:spacing w:line="260" w:lineRule="exact"/>
              <w:jc w:val="center"/>
              <w:rPr>
                <w:color w:val="000000"/>
                <w:kern w:val="0"/>
                <w:szCs w:val="21"/>
              </w:rPr>
            </w:pPr>
            <w:r>
              <w:rPr>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618" w:type="dxa"/>
            <w:vMerge w:val="restart"/>
            <w:textDirection w:val="tbRlV"/>
            <w:vAlign w:val="center"/>
          </w:tcPr>
          <w:p>
            <w:pPr>
              <w:widowControl/>
              <w:spacing w:line="260" w:lineRule="exact"/>
              <w:jc w:val="center"/>
              <w:rPr>
                <w:color w:val="000000"/>
                <w:kern w:val="0"/>
                <w:sz w:val="20"/>
                <w:szCs w:val="20"/>
              </w:rPr>
            </w:pPr>
            <w:r>
              <w:rPr>
                <w:color w:val="000000"/>
                <w:kern w:val="0"/>
                <w:sz w:val="20"/>
                <w:szCs w:val="20"/>
              </w:rPr>
              <w:t>（10分）</w:t>
            </w:r>
            <w:r>
              <w:rPr>
                <w:color w:val="000000"/>
                <w:kern w:val="0"/>
                <w:sz w:val="20"/>
                <w:szCs w:val="20"/>
              </w:rPr>
              <w:br w:type="textWrapping"/>
            </w:r>
            <w:r>
              <w:rPr>
                <w:color w:val="000000"/>
                <w:kern w:val="0"/>
                <w:sz w:val="20"/>
                <w:szCs w:val="20"/>
              </w:rPr>
              <w:t>项目管理</w:t>
            </w:r>
          </w:p>
        </w:tc>
        <w:tc>
          <w:tcPr>
            <w:tcW w:w="2113" w:type="dxa"/>
            <w:vMerge w:val="restart"/>
            <w:textDirection w:val="tbRlV"/>
            <w:vAlign w:val="center"/>
          </w:tcPr>
          <w:p>
            <w:pPr>
              <w:widowControl/>
              <w:spacing w:line="260" w:lineRule="exact"/>
              <w:jc w:val="center"/>
              <w:rPr>
                <w:color w:val="000000"/>
                <w:kern w:val="0"/>
                <w:sz w:val="20"/>
                <w:szCs w:val="20"/>
              </w:rPr>
            </w:pPr>
            <w:r>
              <w:rPr>
                <w:color w:val="000000"/>
                <w:kern w:val="0"/>
                <w:sz w:val="20"/>
                <w:szCs w:val="20"/>
              </w:rPr>
              <w:t>（7分）</w:t>
            </w:r>
            <w:r>
              <w:rPr>
                <w:color w:val="000000"/>
                <w:kern w:val="0"/>
                <w:sz w:val="20"/>
                <w:szCs w:val="20"/>
              </w:rPr>
              <w:br w:type="textWrapping"/>
            </w:r>
            <w:r>
              <w:rPr>
                <w:color w:val="000000"/>
                <w:kern w:val="0"/>
                <w:sz w:val="20"/>
                <w:szCs w:val="20"/>
              </w:rPr>
              <w:t>资金管理</w:t>
            </w:r>
          </w:p>
        </w:tc>
        <w:tc>
          <w:tcPr>
            <w:tcW w:w="3535" w:type="dxa"/>
            <w:vAlign w:val="center"/>
          </w:tcPr>
          <w:p>
            <w:pPr>
              <w:widowControl/>
              <w:spacing w:line="260" w:lineRule="exact"/>
              <w:jc w:val="center"/>
              <w:rPr>
                <w:color w:val="000000"/>
                <w:kern w:val="0"/>
                <w:sz w:val="20"/>
                <w:szCs w:val="20"/>
              </w:rPr>
            </w:pPr>
            <w:r>
              <w:rPr>
                <w:color w:val="000000"/>
                <w:kern w:val="0"/>
                <w:sz w:val="20"/>
                <w:szCs w:val="20"/>
              </w:rPr>
              <w:t>资金分配</w:t>
            </w:r>
          </w:p>
        </w:tc>
        <w:tc>
          <w:tcPr>
            <w:tcW w:w="1311" w:type="dxa"/>
            <w:vAlign w:val="center"/>
          </w:tcPr>
          <w:p>
            <w:pPr>
              <w:widowControl/>
              <w:spacing w:line="260" w:lineRule="exact"/>
              <w:jc w:val="center"/>
              <w:rPr>
                <w:color w:val="000000"/>
                <w:kern w:val="0"/>
                <w:sz w:val="20"/>
                <w:szCs w:val="20"/>
              </w:rPr>
            </w:pPr>
            <w:r>
              <w:rPr>
                <w:color w:val="000000"/>
                <w:kern w:val="0"/>
                <w:sz w:val="20"/>
                <w:szCs w:val="20"/>
              </w:rPr>
              <w:t>3</w:t>
            </w:r>
          </w:p>
        </w:tc>
        <w:tc>
          <w:tcPr>
            <w:tcW w:w="1311" w:type="dxa"/>
          </w:tcPr>
          <w:p>
            <w:pPr>
              <w:widowControl/>
              <w:spacing w:line="260" w:lineRule="exact"/>
              <w:jc w:val="center"/>
              <w:rPr>
                <w:color w:val="000000"/>
                <w:kern w:val="0"/>
                <w:szCs w:val="21"/>
              </w:rPr>
            </w:pPr>
            <w:r>
              <w:rPr>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618" w:type="dxa"/>
            <w:vMerge w:val="continue"/>
            <w:vAlign w:val="center"/>
          </w:tcPr>
          <w:p>
            <w:pPr>
              <w:widowControl/>
              <w:spacing w:line="260" w:lineRule="exact"/>
              <w:jc w:val="left"/>
              <w:rPr>
                <w:color w:val="000000"/>
                <w:kern w:val="0"/>
                <w:sz w:val="20"/>
                <w:szCs w:val="20"/>
              </w:rPr>
            </w:pPr>
          </w:p>
        </w:tc>
        <w:tc>
          <w:tcPr>
            <w:tcW w:w="2113" w:type="dxa"/>
            <w:vMerge w:val="continue"/>
            <w:textDirection w:val="tbRlV"/>
            <w:vAlign w:val="center"/>
          </w:tcPr>
          <w:p>
            <w:pPr>
              <w:widowControl/>
              <w:spacing w:line="260" w:lineRule="exact"/>
              <w:jc w:val="center"/>
              <w:rPr>
                <w:color w:val="000000"/>
                <w:kern w:val="0"/>
                <w:sz w:val="20"/>
                <w:szCs w:val="20"/>
              </w:rPr>
            </w:pPr>
          </w:p>
        </w:tc>
        <w:tc>
          <w:tcPr>
            <w:tcW w:w="3535" w:type="dxa"/>
            <w:vAlign w:val="center"/>
          </w:tcPr>
          <w:p>
            <w:pPr>
              <w:widowControl/>
              <w:spacing w:line="260" w:lineRule="exact"/>
              <w:jc w:val="center"/>
              <w:rPr>
                <w:color w:val="000000"/>
                <w:kern w:val="0"/>
                <w:sz w:val="20"/>
                <w:szCs w:val="20"/>
              </w:rPr>
            </w:pPr>
            <w:r>
              <w:rPr>
                <w:color w:val="000000"/>
                <w:kern w:val="0"/>
                <w:sz w:val="20"/>
                <w:szCs w:val="20"/>
              </w:rPr>
              <w:t>资金使用</w:t>
            </w:r>
          </w:p>
        </w:tc>
        <w:tc>
          <w:tcPr>
            <w:tcW w:w="1311" w:type="dxa"/>
            <w:vAlign w:val="center"/>
          </w:tcPr>
          <w:p>
            <w:pPr>
              <w:widowControl/>
              <w:spacing w:line="260" w:lineRule="exact"/>
              <w:jc w:val="center"/>
              <w:rPr>
                <w:color w:val="000000"/>
                <w:kern w:val="0"/>
                <w:sz w:val="20"/>
                <w:szCs w:val="20"/>
              </w:rPr>
            </w:pPr>
            <w:r>
              <w:rPr>
                <w:color w:val="000000"/>
                <w:kern w:val="0"/>
                <w:sz w:val="20"/>
                <w:szCs w:val="20"/>
              </w:rPr>
              <w:t>4</w:t>
            </w:r>
          </w:p>
        </w:tc>
        <w:tc>
          <w:tcPr>
            <w:tcW w:w="1311" w:type="dxa"/>
          </w:tcPr>
          <w:p>
            <w:pPr>
              <w:widowControl/>
              <w:spacing w:line="260" w:lineRule="exact"/>
              <w:jc w:val="center"/>
              <w:rPr>
                <w:color w:val="000000"/>
                <w:kern w:val="0"/>
                <w:szCs w:val="21"/>
              </w:rPr>
            </w:pPr>
            <w:r>
              <w:rPr>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jc w:val="center"/>
        </w:trPr>
        <w:tc>
          <w:tcPr>
            <w:tcW w:w="1618" w:type="dxa"/>
            <w:vMerge w:val="continue"/>
            <w:vAlign w:val="center"/>
          </w:tcPr>
          <w:p>
            <w:pPr>
              <w:widowControl/>
              <w:spacing w:line="260" w:lineRule="exact"/>
              <w:jc w:val="left"/>
              <w:rPr>
                <w:color w:val="000000"/>
                <w:kern w:val="0"/>
                <w:sz w:val="20"/>
                <w:szCs w:val="20"/>
              </w:rPr>
            </w:pPr>
          </w:p>
        </w:tc>
        <w:tc>
          <w:tcPr>
            <w:tcW w:w="2113" w:type="dxa"/>
            <w:textDirection w:val="tbRlV"/>
            <w:vAlign w:val="center"/>
          </w:tcPr>
          <w:p>
            <w:pPr>
              <w:widowControl/>
              <w:spacing w:line="260" w:lineRule="exact"/>
              <w:jc w:val="center"/>
              <w:rPr>
                <w:color w:val="000000"/>
                <w:kern w:val="0"/>
                <w:sz w:val="20"/>
                <w:szCs w:val="20"/>
              </w:rPr>
            </w:pPr>
            <w:r>
              <w:rPr>
                <w:color w:val="000000"/>
                <w:kern w:val="0"/>
                <w:sz w:val="20"/>
                <w:szCs w:val="20"/>
              </w:rPr>
              <w:t>（3分）</w:t>
            </w:r>
            <w:r>
              <w:rPr>
                <w:color w:val="000000"/>
                <w:kern w:val="0"/>
                <w:sz w:val="20"/>
                <w:szCs w:val="20"/>
              </w:rPr>
              <w:br w:type="textWrapping"/>
            </w:r>
            <w:r>
              <w:rPr>
                <w:color w:val="000000"/>
                <w:kern w:val="0"/>
                <w:sz w:val="20"/>
                <w:szCs w:val="20"/>
              </w:rPr>
              <w:t>项目执行</w:t>
            </w:r>
          </w:p>
        </w:tc>
        <w:tc>
          <w:tcPr>
            <w:tcW w:w="3535" w:type="dxa"/>
            <w:vAlign w:val="center"/>
          </w:tcPr>
          <w:p>
            <w:pPr>
              <w:widowControl/>
              <w:spacing w:line="260" w:lineRule="exact"/>
              <w:jc w:val="center"/>
              <w:rPr>
                <w:color w:val="000000"/>
                <w:kern w:val="0"/>
                <w:sz w:val="20"/>
                <w:szCs w:val="20"/>
              </w:rPr>
            </w:pPr>
            <w:r>
              <w:rPr>
                <w:color w:val="000000"/>
                <w:kern w:val="0"/>
                <w:sz w:val="20"/>
                <w:szCs w:val="20"/>
              </w:rPr>
              <w:t>执行规范</w:t>
            </w:r>
          </w:p>
        </w:tc>
        <w:tc>
          <w:tcPr>
            <w:tcW w:w="1311" w:type="dxa"/>
            <w:vAlign w:val="center"/>
          </w:tcPr>
          <w:p>
            <w:pPr>
              <w:widowControl/>
              <w:spacing w:line="260" w:lineRule="exact"/>
              <w:jc w:val="center"/>
              <w:rPr>
                <w:color w:val="000000"/>
                <w:kern w:val="0"/>
                <w:sz w:val="20"/>
                <w:szCs w:val="20"/>
              </w:rPr>
            </w:pPr>
            <w:r>
              <w:rPr>
                <w:color w:val="000000"/>
                <w:kern w:val="0"/>
                <w:sz w:val="20"/>
                <w:szCs w:val="20"/>
              </w:rPr>
              <w:t>3</w:t>
            </w:r>
          </w:p>
        </w:tc>
        <w:tc>
          <w:tcPr>
            <w:tcW w:w="1311" w:type="dxa"/>
          </w:tcPr>
          <w:p>
            <w:pPr>
              <w:widowControl/>
              <w:spacing w:line="260" w:lineRule="exact"/>
              <w:jc w:val="center"/>
              <w:rPr>
                <w:color w:val="000000"/>
                <w:kern w:val="0"/>
                <w:szCs w:val="21"/>
              </w:rPr>
            </w:pPr>
            <w:r>
              <w:rPr>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618" w:type="dxa"/>
            <w:vMerge w:val="restart"/>
            <w:textDirection w:val="tbRlV"/>
            <w:vAlign w:val="center"/>
          </w:tcPr>
          <w:p>
            <w:pPr>
              <w:widowControl/>
              <w:spacing w:line="260" w:lineRule="exact"/>
              <w:jc w:val="center"/>
              <w:rPr>
                <w:color w:val="000000"/>
                <w:kern w:val="0"/>
                <w:sz w:val="20"/>
                <w:szCs w:val="20"/>
              </w:rPr>
            </w:pPr>
            <w:r>
              <w:rPr>
                <w:color w:val="000000"/>
                <w:kern w:val="0"/>
                <w:sz w:val="20"/>
                <w:szCs w:val="20"/>
              </w:rPr>
              <w:t>（特性指标70分）</w:t>
            </w:r>
            <w:r>
              <w:rPr>
                <w:color w:val="000000"/>
                <w:kern w:val="0"/>
                <w:sz w:val="20"/>
                <w:szCs w:val="20"/>
              </w:rPr>
              <w:br w:type="textWrapping"/>
            </w:r>
            <w:r>
              <w:rPr>
                <w:color w:val="000000"/>
                <w:kern w:val="0"/>
                <w:sz w:val="20"/>
                <w:szCs w:val="20"/>
              </w:rPr>
              <w:t xml:space="preserve">项目绩效  </w:t>
            </w:r>
          </w:p>
        </w:tc>
        <w:tc>
          <w:tcPr>
            <w:tcW w:w="2113" w:type="dxa"/>
            <w:vMerge w:val="restart"/>
            <w:textDirection w:val="tbRlV"/>
            <w:vAlign w:val="center"/>
          </w:tcPr>
          <w:p>
            <w:pPr>
              <w:widowControl/>
              <w:spacing w:line="260" w:lineRule="exact"/>
              <w:jc w:val="center"/>
              <w:rPr>
                <w:color w:val="000000"/>
                <w:kern w:val="0"/>
                <w:sz w:val="20"/>
                <w:szCs w:val="20"/>
              </w:rPr>
            </w:pPr>
            <w:r>
              <w:rPr>
                <w:color w:val="000000"/>
                <w:kern w:val="0"/>
                <w:sz w:val="20"/>
                <w:szCs w:val="20"/>
              </w:rPr>
              <w:t>（20）</w:t>
            </w:r>
            <w:r>
              <w:rPr>
                <w:color w:val="000000"/>
                <w:kern w:val="0"/>
                <w:sz w:val="20"/>
                <w:szCs w:val="20"/>
              </w:rPr>
              <w:br w:type="textWrapping"/>
            </w:r>
            <w:r>
              <w:rPr>
                <w:color w:val="000000"/>
                <w:kern w:val="0"/>
                <w:sz w:val="20"/>
                <w:szCs w:val="20"/>
              </w:rPr>
              <w:t>项目完成</w:t>
            </w:r>
          </w:p>
        </w:tc>
        <w:tc>
          <w:tcPr>
            <w:tcW w:w="3535" w:type="dxa"/>
            <w:vAlign w:val="center"/>
          </w:tcPr>
          <w:p>
            <w:pPr>
              <w:widowControl/>
              <w:spacing w:line="260" w:lineRule="exact"/>
              <w:jc w:val="center"/>
              <w:rPr>
                <w:color w:val="000000"/>
                <w:kern w:val="0"/>
                <w:sz w:val="20"/>
                <w:szCs w:val="20"/>
              </w:rPr>
            </w:pPr>
            <w:r>
              <w:rPr>
                <w:color w:val="000000"/>
                <w:kern w:val="0"/>
                <w:sz w:val="20"/>
                <w:szCs w:val="20"/>
              </w:rPr>
              <w:t>完成数量</w:t>
            </w:r>
          </w:p>
        </w:tc>
        <w:tc>
          <w:tcPr>
            <w:tcW w:w="1311" w:type="dxa"/>
            <w:vAlign w:val="center"/>
          </w:tcPr>
          <w:p>
            <w:pPr>
              <w:widowControl/>
              <w:spacing w:line="260" w:lineRule="exact"/>
              <w:jc w:val="center"/>
              <w:rPr>
                <w:color w:val="000000"/>
                <w:kern w:val="0"/>
                <w:sz w:val="20"/>
                <w:szCs w:val="20"/>
              </w:rPr>
            </w:pPr>
            <w:r>
              <w:rPr>
                <w:color w:val="000000"/>
                <w:kern w:val="0"/>
                <w:sz w:val="20"/>
                <w:szCs w:val="20"/>
              </w:rPr>
              <w:t xml:space="preserve">5 </w:t>
            </w:r>
          </w:p>
        </w:tc>
        <w:tc>
          <w:tcPr>
            <w:tcW w:w="1311" w:type="dxa"/>
          </w:tcPr>
          <w:p>
            <w:pPr>
              <w:widowControl/>
              <w:spacing w:line="260" w:lineRule="exact"/>
              <w:jc w:val="center"/>
              <w:rPr>
                <w:color w:val="000000"/>
                <w:kern w:val="0"/>
                <w:szCs w:val="21"/>
              </w:rPr>
            </w:pPr>
            <w:r>
              <w:rPr>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618" w:type="dxa"/>
            <w:vMerge w:val="continue"/>
            <w:vAlign w:val="center"/>
          </w:tcPr>
          <w:p>
            <w:pPr>
              <w:widowControl/>
              <w:spacing w:line="260" w:lineRule="exact"/>
              <w:jc w:val="left"/>
              <w:rPr>
                <w:color w:val="000000"/>
                <w:kern w:val="0"/>
                <w:sz w:val="20"/>
                <w:szCs w:val="20"/>
              </w:rPr>
            </w:pPr>
          </w:p>
        </w:tc>
        <w:tc>
          <w:tcPr>
            <w:tcW w:w="2113" w:type="dxa"/>
            <w:vMerge w:val="continue"/>
            <w:vAlign w:val="center"/>
          </w:tcPr>
          <w:p>
            <w:pPr>
              <w:widowControl/>
              <w:spacing w:line="260" w:lineRule="exact"/>
              <w:jc w:val="left"/>
              <w:rPr>
                <w:color w:val="000000"/>
                <w:kern w:val="0"/>
                <w:sz w:val="20"/>
                <w:szCs w:val="20"/>
              </w:rPr>
            </w:pPr>
          </w:p>
        </w:tc>
        <w:tc>
          <w:tcPr>
            <w:tcW w:w="3535" w:type="dxa"/>
            <w:vAlign w:val="center"/>
          </w:tcPr>
          <w:p>
            <w:pPr>
              <w:widowControl/>
              <w:spacing w:line="260" w:lineRule="exact"/>
              <w:jc w:val="center"/>
              <w:rPr>
                <w:color w:val="000000"/>
                <w:kern w:val="0"/>
                <w:sz w:val="20"/>
                <w:szCs w:val="20"/>
              </w:rPr>
            </w:pPr>
            <w:r>
              <w:rPr>
                <w:color w:val="000000"/>
                <w:kern w:val="0"/>
                <w:sz w:val="20"/>
                <w:szCs w:val="20"/>
              </w:rPr>
              <w:t>完成质量</w:t>
            </w:r>
          </w:p>
        </w:tc>
        <w:tc>
          <w:tcPr>
            <w:tcW w:w="1311" w:type="dxa"/>
            <w:vAlign w:val="center"/>
          </w:tcPr>
          <w:p>
            <w:pPr>
              <w:widowControl/>
              <w:spacing w:line="260" w:lineRule="exact"/>
              <w:jc w:val="center"/>
              <w:rPr>
                <w:color w:val="000000"/>
                <w:kern w:val="0"/>
                <w:sz w:val="20"/>
                <w:szCs w:val="20"/>
              </w:rPr>
            </w:pPr>
            <w:r>
              <w:rPr>
                <w:color w:val="000000"/>
                <w:kern w:val="0"/>
                <w:sz w:val="20"/>
                <w:szCs w:val="20"/>
              </w:rPr>
              <w:t xml:space="preserve">5 </w:t>
            </w:r>
          </w:p>
        </w:tc>
        <w:tc>
          <w:tcPr>
            <w:tcW w:w="1311" w:type="dxa"/>
          </w:tcPr>
          <w:p>
            <w:pPr>
              <w:widowControl/>
              <w:spacing w:line="260" w:lineRule="exact"/>
              <w:jc w:val="center"/>
              <w:rPr>
                <w:color w:val="000000"/>
                <w:kern w:val="0"/>
                <w:szCs w:val="21"/>
              </w:rPr>
            </w:pPr>
            <w:r>
              <w:rPr>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618" w:type="dxa"/>
            <w:vMerge w:val="continue"/>
            <w:vAlign w:val="center"/>
          </w:tcPr>
          <w:p>
            <w:pPr>
              <w:widowControl/>
              <w:spacing w:line="260" w:lineRule="exact"/>
              <w:jc w:val="left"/>
              <w:rPr>
                <w:color w:val="000000"/>
                <w:kern w:val="0"/>
                <w:sz w:val="20"/>
                <w:szCs w:val="20"/>
              </w:rPr>
            </w:pPr>
          </w:p>
        </w:tc>
        <w:tc>
          <w:tcPr>
            <w:tcW w:w="2113" w:type="dxa"/>
            <w:vMerge w:val="continue"/>
            <w:vAlign w:val="center"/>
          </w:tcPr>
          <w:p>
            <w:pPr>
              <w:widowControl/>
              <w:spacing w:line="260" w:lineRule="exact"/>
              <w:jc w:val="left"/>
              <w:rPr>
                <w:color w:val="000000"/>
                <w:kern w:val="0"/>
                <w:sz w:val="20"/>
                <w:szCs w:val="20"/>
              </w:rPr>
            </w:pPr>
          </w:p>
        </w:tc>
        <w:tc>
          <w:tcPr>
            <w:tcW w:w="3535" w:type="dxa"/>
            <w:vAlign w:val="center"/>
          </w:tcPr>
          <w:p>
            <w:pPr>
              <w:widowControl/>
              <w:spacing w:line="260" w:lineRule="exact"/>
              <w:jc w:val="center"/>
              <w:rPr>
                <w:color w:val="000000"/>
                <w:kern w:val="0"/>
                <w:sz w:val="20"/>
                <w:szCs w:val="20"/>
              </w:rPr>
            </w:pPr>
            <w:r>
              <w:rPr>
                <w:color w:val="000000"/>
                <w:kern w:val="0"/>
                <w:sz w:val="20"/>
                <w:szCs w:val="20"/>
              </w:rPr>
              <w:t>完成时效</w:t>
            </w:r>
          </w:p>
        </w:tc>
        <w:tc>
          <w:tcPr>
            <w:tcW w:w="1311" w:type="dxa"/>
            <w:vAlign w:val="center"/>
          </w:tcPr>
          <w:p>
            <w:pPr>
              <w:widowControl/>
              <w:spacing w:line="260" w:lineRule="exact"/>
              <w:jc w:val="center"/>
              <w:rPr>
                <w:color w:val="000000"/>
                <w:kern w:val="0"/>
                <w:sz w:val="20"/>
                <w:szCs w:val="20"/>
              </w:rPr>
            </w:pPr>
            <w:r>
              <w:rPr>
                <w:color w:val="000000"/>
                <w:kern w:val="0"/>
                <w:sz w:val="20"/>
                <w:szCs w:val="20"/>
              </w:rPr>
              <w:t>5</w:t>
            </w:r>
          </w:p>
        </w:tc>
        <w:tc>
          <w:tcPr>
            <w:tcW w:w="1311" w:type="dxa"/>
          </w:tcPr>
          <w:p>
            <w:pPr>
              <w:widowControl/>
              <w:spacing w:line="260" w:lineRule="exact"/>
              <w:jc w:val="center"/>
              <w:rPr>
                <w:color w:val="000000"/>
                <w:kern w:val="0"/>
                <w:szCs w:val="21"/>
              </w:rPr>
            </w:pPr>
            <w:r>
              <w:rPr>
                <w:color w:val="000000"/>
                <w:kern w:val="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618" w:type="dxa"/>
            <w:vMerge w:val="continue"/>
            <w:vAlign w:val="center"/>
          </w:tcPr>
          <w:p>
            <w:pPr>
              <w:widowControl/>
              <w:spacing w:line="260" w:lineRule="exact"/>
              <w:jc w:val="left"/>
              <w:rPr>
                <w:color w:val="000000"/>
                <w:kern w:val="0"/>
                <w:sz w:val="20"/>
                <w:szCs w:val="20"/>
              </w:rPr>
            </w:pPr>
          </w:p>
        </w:tc>
        <w:tc>
          <w:tcPr>
            <w:tcW w:w="2113" w:type="dxa"/>
            <w:vMerge w:val="continue"/>
            <w:vAlign w:val="center"/>
          </w:tcPr>
          <w:p>
            <w:pPr>
              <w:widowControl/>
              <w:spacing w:line="260" w:lineRule="exact"/>
              <w:jc w:val="left"/>
              <w:rPr>
                <w:color w:val="000000"/>
                <w:kern w:val="0"/>
                <w:sz w:val="20"/>
                <w:szCs w:val="20"/>
              </w:rPr>
            </w:pPr>
          </w:p>
        </w:tc>
        <w:tc>
          <w:tcPr>
            <w:tcW w:w="3535" w:type="dxa"/>
            <w:vAlign w:val="center"/>
          </w:tcPr>
          <w:p>
            <w:pPr>
              <w:widowControl/>
              <w:spacing w:line="260" w:lineRule="exact"/>
              <w:jc w:val="center"/>
              <w:rPr>
                <w:color w:val="000000"/>
                <w:kern w:val="0"/>
                <w:sz w:val="20"/>
                <w:szCs w:val="20"/>
              </w:rPr>
            </w:pPr>
            <w:r>
              <w:rPr>
                <w:color w:val="000000"/>
                <w:kern w:val="0"/>
                <w:sz w:val="20"/>
                <w:szCs w:val="20"/>
              </w:rPr>
              <w:t>完成成本</w:t>
            </w:r>
          </w:p>
        </w:tc>
        <w:tc>
          <w:tcPr>
            <w:tcW w:w="1311" w:type="dxa"/>
            <w:vAlign w:val="center"/>
          </w:tcPr>
          <w:p>
            <w:pPr>
              <w:widowControl/>
              <w:spacing w:line="260" w:lineRule="exact"/>
              <w:jc w:val="center"/>
              <w:rPr>
                <w:color w:val="000000"/>
                <w:kern w:val="0"/>
                <w:sz w:val="20"/>
                <w:szCs w:val="20"/>
              </w:rPr>
            </w:pPr>
            <w:r>
              <w:rPr>
                <w:color w:val="000000"/>
                <w:kern w:val="0"/>
                <w:sz w:val="20"/>
                <w:szCs w:val="20"/>
              </w:rPr>
              <w:t>5</w:t>
            </w:r>
          </w:p>
        </w:tc>
        <w:tc>
          <w:tcPr>
            <w:tcW w:w="1311" w:type="dxa"/>
          </w:tcPr>
          <w:p>
            <w:pPr>
              <w:widowControl/>
              <w:spacing w:line="260" w:lineRule="exact"/>
              <w:jc w:val="center"/>
              <w:rPr>
                <w:color w:val="000000"/>
                <w:kern w:val="0"/>
                <w:szCs w:val="21"/>
              </w:rPr>
            </w:pPr>
            <w:r>
              <w:rPr>
                <w:color w:val="000000"/>
                <w:kern w:val="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1618" w:type="dxa"/>
            <w:vMerge w:val="continue"/>
            <w:vAlign w:val="center"/>
          </w:tcPr>
          <w:p>
            <w:pPr>
              <w:widowControl/>
              <w:spacing w:line="260" w:lineRule="exact"/>
              <w:jc w:val="left"/>
              <w:rPr>
                <w:color w:val="000000"/>
                <w:kern w:val="0"/>
                <w:sz w:val="20"/>
                <w:szCs w:val="20"/>
              </w:rPr>
            </w:pPr>
          </w:p>
        </w:tc>
        <w:tc>
          <w:tcPr>
            <w:tcW w:w="2113" w:type="dxa"/>
            <w:vMerge w:val="restart"/>
            <w:textDirection w:val="tbRlV"/>
            <w:vAlign w:val="center"/>
          </w:tcPr>
          <w:p>
            <w:pPr>
              <w:widowControl/>
              <w:spacing w:line="260" w:lineRule="exact"/>
              <w:jc w:val="center"/>
              <w:rPr>
                <w:color w:val="000000"/>
                <w:kern w:val="0"/>
                <w:sz w:val="20"/>
                <w:szCs w:val="20"/>
              </w:rPr>
            </w:pPr>
            <w:r>
              <w:rPr>
                <w:color w:val="000000"/>
                <w:kern w:val="0"/>
                <w:sz w:val="20"/>
                <w:szCs w:val="20"/>
              </w:rPr>
              <w:t>（50分）</w:t>
            </w:r>
            <w:r>
              <w:rPr>
                <w:color w:val="000000"/>
                <w:kern w:val="0"/>
                <w:sz w:val="20"/>
                <w:szCs w:val="20"/>
              </w:rPr>
              <w:br w:type="textWrapping"/>
            </w:r>
            <w:r>
              <w:rPr>
                <w:color w:val="000000"/>
                <w:kern w:val="0"/>
                <w:sz w:val="20"/>
                <w:szCs w:val="20"/>
              </w:rPr>
              <w:t>项目效益</w:t>
            </w:r>
          </w:p>
        </w:tc>
        <w:tc>
          <w:tcPr>
            <w:tcW w:w="3535" w:type="dxa"/>
            <w:vAlign w:val="center"/>
          </w:tcPr>
          <w:p>
            <w:pPr>
              <w:widowControl/>
              <w:spacing w:line="260" w:lineRule="exact"/>
              <w:jc w:val="center"/>
              <w:rPr>
                <w:color w:val="000000"/>
                <w:kern w:val="0"/>
                <w:sz w:val="20"/>
                <w:szCs w:val="20"/>
              </w:rPr>
            </w:pPr>
            <w:r>
              <w:rPr>
                <w:color w:val="000000"/>
                <w:kern w:val="0"/>
                <w:sz w:val="20"/>
                <w:szCs w:val="20"/>
              </w:rPr>
              <w:t>经济效益（可选项）</w:t>
            </w:r>
          </w:p>
        </w:tc>
        <w:tc>
          <w:tcPr>
            <w:tcW w:w="1311" w:type="dxa"/>
            <w:vMerge w:val="restart"/>
            <w:vAlign w:val="center"/>
          </w:tcPr>
          <w:p>
            <w:pPr>
              <w:widowControl/>
              <w:spacing w:line="260" w:lineRule="exact"/>
              <w:jc w:val="center"/>
              <w:rPr>
                <w:color w:val="000000"/>
                <w:kern w:val="0"/>
                <w:sz w:val="20"/>
                <w:szCs w:val="20"/>
              </w:rPr>
            </w:pPr>
            <w:r>
              <w:rPr>
                <w:color w:val="000000"/>
                <w:kern w:val="0"/>
                <w:sz w:val="20"/>
                <w:szCs w:val="20"/>
              </w:rPr>
              <w:t>40</w:t>
            </w:r>
          </w:p>
        </w:tc>
        <w:tc>
          <w:tcPr>
            <w:tcW w:w="1311" w:type="dxa"/>
          </w:tcPr>
          <w:p>
            <w:pPr>
              <w:widowControl/>
              <w:spacing w:line="260" w:lineRule="exact"/>
              <w:jc w:val="center"/>
              <w:rPr>
                <w:color w:val="000000"/>
                <w:kern w:val="0"/>
                <w:szCs w:val="21"/>
              </w:rPr>
            </w:pPr>
            <w:r>
              <w:rPr>
                <w:color w:val="000000"/>
                <w:kern w:val="0"/>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618" w:type="dxa"/>
            <w:vMerge w:val="continue"/>
            <w:vAlign w:val="center"/>
          </w:tcPr>
          <w:p>
            <w:pPr>
              <w:widowControl/>
              <w:spacing w:line="260" w:lineRule="exact"/>
              <w:jc w:val="left"/>
              <w:rPr>
                <w:color w:val="000000"/>
                <w:kern w:val="0"/>
                <w:sz w:val="20"/>
                <w:szCs w:val="20"/>
              </w:rPr>
            </w:pPr>
          </w:p>
        </w:tc>
        <w:tc>
          <w:tcPr>
            <w:tcW w:w="2113" w:type="dxa"/>
            <w:vMerge w:val="continue"/>
            <w:vAlign w:val="center"/>
          </w:tcPr>
          <w:p>
            <w:pPr>
              <w:widowControl/>
              <w:spacing w:line="260" w:lineRule="exact"/>
              <w:jc w:val="left"/>
              <w:rPr>
                <w:color w:val="000000"/>
                <w:kern w:val="0"/>
                <w:sz w:val="20"/>
                <w:szCs w:val="20"/>
              </w:rPr>
            </w:pPr>
          </w:p>
        </w:tc>
        <w:tc>
          <w:tcPr>
            <w:tcW w:w="3535" w:type="dxa"/>
            <w:vAlign w:val="center"/>
          </w:tcPr>
          <w:p>
            <w:pPr>
              <w:widowControl/>
              <w:spacing w:line="260" w:lineRule="exact"/>
              <w:jc w:val="center"/>
              <w:rPr>
                <w:color w:val="000000"/>
                <w:kern w:val="0"/>
                <w:sz w:val="20"/>
                <w:szCs w:val="20"/>
              </w:rPr>
            </w:pPr>
            <w:r>
              <w:rPr>
                <w:color w:val="000000"/>
                <w:kern w:val="0"/>
                <w:sz w:val="20"/>
                <w:szCs w:val="20"/>
              </w:rPr>
              <w:t>社会效益（可选项）</w:t>
            </w:r>
          </w:p>
        </w:tc>
        <w:tc>
          <w:tcPr>
            <w:tcW w:w="1311" w:type="dxa"/>
            <w:vMerge w:val="continue"/>
            <w:vAlign w:val="center"/>
          </w:tcPr>
          <w:p>
            <w:pPr>
              <w:widowControl/>
              <w:spacing w:line="260" w:lineRule="exact"/>
              <w:jc w:val="left"/>
              <w:rPr>
                <w:color w:val="000000"/>
                <w:kern w:val="0"/>
                <w:sz w:val="20"/>
                <w:szCs w:val="20"/>
              </w:rPr>
            </w:pPr>
          </w:p>
        </w:tc>
        <w:tc>
          <w:tcPr>
            <w:tcW w:w="1311" w:type="dxa"/>
          </w:tcPr>
          <w:p>
            <w:pPr>
              <w:widowControl/>
              <w:spacing w:line="260" w:lineRule="exact"/>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618" w:type="dxa"/>
            <w:vMerge w:val="continue"/>
            <w:vAlign w:val="center"/>
          </w:tcPr>
          <w:p>
            <w:pPr>
              <w:widowControl/>
              <w:spacing w:line="260" w:lineRule="exact"/>
              <w:jc w:val="left"/>
              <w:rPr>
                <w:color w:val="000000"/>
                <w:kern w:val="0"/>
                <w:sz w:val="20"/>
                <w:szCs w:val="20"/>
              </w:rPr>
            </w:pPr>
          </w:p>
        </w:tc>
        <w:tc>
          <w:tcPr>
            <w:tcW w:w="2113" w:type="dxa"/>
            <w:vMerge w:val="continue"/>
            <w:vAlign w:val="center"/>
          </w:tcPr>
          <w:p>
            <w:pPr>
              <w:widowControl/>
              <w:spacing w:line="260" w:lineRule="exact"/>
              <w:jc w:val="left"/>
              <w:rPr>
                <w:color w:val="000000"/>
                <w:kern w:val="0"/>
                <w:sz w:val="20"/>
                <w:szCs w:val="20"/>
              </w:rPr>
            </w:pPr>
          </w:p>
        </w:tc>
        <w:tc>
          <w:tcPr>
            <w:tcW w:w="3535" w:type="dxa"/>
            <w:vAlign w:val="center"/>
          </w:tcPr>
          <w:p>
            <w:pPr>
              <w:widowControl/>
              <w:spacing w:line="260" w:lineRule="exact"/>
              <w:jc w:val="center"/>
              <w:rPr>
                <w:color w:val="000000"/>
                <w:kern w:val="0"/>
                <w:sz w:val="20"/>
                <w:szCs w:val="20"/>
              </w:rPr>
            </w:pPr>
            <w:r>
              <w:rPr>
                <w:color w:val="000000"/>
                <w:kern w:val="0"/>
                <w:sz w:val="20"/>
                <w:szCs w:val="20"/>
              </w:rPr>
              <w:t>生态效益（可选项）</w:t>
            </w:r>
          </w:p>
        </w:tc>
        <w:tc>
          <w:tcPr>
            <w:tcW w:w="1311" w:type="dxa"/>
            <w:vMerge w:val="continue"/>
            <w:vAlign w:val="center"/>
          </w:tcPr>
          <w:p>
            <w:pPr>
              <w:widowControl/>
              <w:spacing w:line="260" w:lineRule="exact"/>
              <w:jc w:val="left"/>
              <w:rPr>
                <w:color w:val="000000"/>
                <w:kern w:val="0"/>
                <w:sz w:val="20"/>
                <w:szCs w:val="20"/>
              </w:rPr>
            </w:pPr>
          </w:p>
        </w:tc>
        <w:tc>
          <w:tcPr>
            <w:tcW w:w="1311" w:type="dxa"/>
          </w:tcPr>
          <w:p>
            <w:pPr>
              <w:widowControl/>
              <w:spacing w:line="260" w:lineRule="exact"/>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1618" w:type="dxa"/>
            <w:vMerge w:val="continue"/>
            <w:vAlign w:val="center"/>
          </w:tcPr>
          <w:p>
            <w:pPr>
              <w:widowControl/>
              <w:spacing w:line="260" w:lineRule="exact"/>
              <w:jc w:val="left"/>
              <w:rPr>
                <w:color w:val="000000"/>
                <w:kern w:val="0"/>
                <w:sz w:val="20"/>
                <w:szCs w:val="20"/>
              </w:rPr>
            </w:pPr>
          </w:p>
        </w:tc>
        <w:tc>
          <w:tcPr>
            <w:tcW w:w="2113" w:type="dxa"/>
            <w:vMerge w:val="continue"/>
            <w:vAlign w:val="center"/>
          </w:tcPr>
          <w:p>
            <w:pPr>
              <w:widowControl/>
              <w:spacing w:line="260" w:lineRule="exact"/>
              <w:jc w:val="left"/>
              <w:rPr>
                <w:color w:val="000000"/>
                <w:kern w:val="0"/>
                <w:sz w:val="20"/>
                <w:szCs w:val="20"/>
              </w:rPr>
            </w:pPr>
          </w:p>
        </w:tc>
        <w:tc>
          <w:tcPr>
            <w:tcW w:w="3535" w:type="dxa"/>
            <w:vAlign w:val="center"/>
          </w:tcPr>
          <w:p>
            <w:pPr>
              <w:widowControl/>
              <w:spacing w:line="260" w:lineRule="exact"/>
              <w:jc w:val="center"/>
              <w:rPr>
                <w:color w:val="000000"/>
                <w:kern w:val="0"/>
                <w:sz w:val="20"/>
                <w:szCs w:val="20"/>
              </w:rPr>
            </w:pPr>
            <w:r>
              <w:rPr>
                <w:color w:val="000000"/>
                <w:kern w:val="0"/>
                <w:sz w:val="20"/>
                <w:szCs w:val="20"/>
              </w:rPr>
              <w:t>可持续效益（可选项）</w:t>
            </w:r>
          </w:p>
        </w:tc>
        <w:tc>
          <w:tcPr>
            <w:tcW w:w="1311" w:type="dxa"/>
            <w:vMerge w:val="continue"/>
            <w:vAlign w:val="center"/>
          </w:tcPr>
          <w:p>
            <w:pPr>
              <w:widowControl/>
              <w:spacing w:line="260" w:lineRule="exact"/>
              <w:jc w:val="left"/>
              <w:rPr>
                <w:color w:val="000000"/>
                <w:kern w:val="0"/>
                <w:sz w:val="20"/>
                <w:szCs w:val="20"/>
              </w:rPr>
            </w:pPr>
          </w:p>
        </w:tc>
        <w:tc>
          <w:tcPr>
            <w:tcW w:w="1311" w:type="dxa"/>
          </w:tcPr>
          <w:p>
            <w:pPr>
              <w:widowControl/>
              <w:spacing w:line="260" w:lineRule="exact"/>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jc w:val="center"/>
        </w:trPr>
        <w:tc>
          <w:tcPr>
            <w:tcW w:w="1618" w:type="dxa"/>
            <w:vMerge w:val="continue"/>
            <w:vAlign w:val="center"/>
          </w:tcPr>
          <w:p>
            <w:pPr>
              <w:widowControl/>
              <w:spacing w:line="260" w:lineRule="exact"/>
              <w:jc w:val="left"/>
              <w:rPr>
                <w:color w:val="000000"/>
                <w:kern w:val="0"/>
                <w:sz w:val="20"/>
                <w:szCs w:val="20"/>
              </w:rPr>
            </w:pPr>
          </w:p>
        </w:tc>
        <w:tc>
          <w:tcPr>
            <w:tcW w:w="2113" w:type="dxa"/>
            <w:vMerge w:val="continue"/>
            <w:vAlign w:val="center"/>
          </w:tcPr>
          <w:p>
            <w:pPr>
              <w:widowControl/>
              <w:spacing w:line="260" w:lineRule="exact"/>
              <w:jc w:val="left"/>
              <w:rPr>
                <w:color w:val="000000"/>
                <w:kern w:val="0"/>
                <w:sz w:val="20"/>
                <w:szCs w:val="20"/>
              </w:rPr>
            </w:pPr>
          </w:p>
        </w:tc>
        <w:tc>
          <w:tcPr>
            <w:tcW w:w="3535" w:type="dxa"/>
            <w:vAlign w:val="center"/>
          </w:tcPr>
          <w:p>
            <w:pPr>
              <w:widowControl/>
              <w:spacing w:line="260" w:lineRule="exact"/>
              <w:jc w:val="center"/>
              <w:rPr>
                <w:color w:val="000000"/>
                <w:kern w:val="0"/>
                <w:sz w:val="20"/>
                <w:szCs w:val="20"/>
              </w:rPr>
            </w:pPr>
            <w:r>
              <w:rPr>
                <w:color w:val="000000"/>
                <w:kern w:val="0"/>
                <w:sz w:val="20"/>
                <w:szCs w:val="20"/>
              </w:rPr>
              <w:t>公平效率（可选项）</w:t>
            </w:r>
          </w:p>
        </w:tc>
        <w:tc>
          <w:tcPr>
            <w:tcW w:w="1311" w:type="dxa"/>
            <w:vMerge w:val="continue"/>
            <w:vAlign w:val="center"/>
          </w:tcPr>
          <w:p>
            <w:pPr>
              <w:widowControl/>
              <w:spacing w:line="260" w:lineRule="exact"/>
              <w:jc w:val="left"/>
              <w:rPr>
                <w:color w:val="000000"/>
                <w:kern w:val="0"/>
                <w:sz w:val="20"/>
                <w:szCs w:val="20"/>
              </w:rPr>
            </w:pPr>
          </w:p>
        </w:tc>
        <w:tc>
          <w:tcPr>
            <w:tcW w:w="1311" w:type="dxa"/>
          </w:tcPr>
          <w:p>
            <w:pPr>
              <w:widowControl/>
              <w:spacing w:line="260" w:lineRule="exact"/>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618" w:type="dxa"/>
            <w:vMerge w:val="continue"/>
            <w:vAlign w:val="center"/>
          </w:tcPr>
          <w:p>
            <w:pPr>
              <w:widowControl/>
              <w:spacing w:line="260" w:lineRule="exact"/>
              <w:jc w:val="left"/>
              <w:rPr>
                <w:color w:val="000000"/>
                <w:kern w:val="0"/>
                <w:sz w:val="20"/>
                <w:szCs w:val="20"/>
              </w:rPr>
            </w:pPr>
          </w:p>
        </w:tc>
        <w:tc>
          <w:tcPr>
            <w:tcW w:w="2113" w:type="dxa"/>
            <w:vMerge w:val="continue"/>
            <w:vAlign w:val="center"/>
          </w:tcPr>
          <w:p>
            <w:pPr>
              <w:widowControl/>
              <w:spacing w:line="260" w:lineRule="exact"/>
              <w:jc w:val="left"/>
              <w:rPr>
                <w:color w:val="000000"/>
                <w:kern w:val="0"/>
                <w:sz w:val="20"/>
                <w:szCs w:val="20"/>
              </w:rPr>
            </w:pPr>
          </w:p>
        </w:tc>
        <w:tc>
          <w:tcPr>
            <w:tcW w:w="3535" w:type="dxa"/>
            <w:vAlign w:val="center"/>
          </w:tcPr>
          <w:p>
            <w:pPr>
              <w:widowControl/>
              <w:spacing w:line="260" w:lineRule="exact"/>
              <w:jc w:val="center"/>
              <w:rPr>
                <w:color w:val="000000"/>
                <w:kern w:val="0"/>
                <w:sz w:val="20"/>
                <w:szCs w:val="20"/>
              </w:rPr>
            </w:pPr>
            <w:r>
              <w:rPr>
                <w:color w:val="000000"/>
                <w:kern w:val="0"/>
                <w:sz w:val="20"/>
                <w:szCs w:val="20"/>
              </w:rPr>
              <w:t>使用效率（可选项）</w:t>
            </w:r>
          </w:p>
        </w:tc>
        <w:tc>
          <w:tcPr>
            <w:tcW w:w="1311" w:type="dxa"/>
            <w:vMerge w:val="continue"/>
            <w:vAlign w:val="center"/>
          </w:tcPr>
          <w:p>
            <w:pPr>
              <w:widowControl/>
              <w:spacing w:line="260" w:lineRule="exact"/>
              <w:jc w:val="left"/>
              <w:rPr>
                <w:color w:val="000000"/>
                <w:kern w:val="0"/>
                <w:sz w:val="20"/>
                <w:szCs w:val="20"/>
              </w:rPr>
            </w:pPr>
          </w:p>
        </w:tc>
        <w:tc>
          <w:tcPr>
            <w:tcW w:w="1311" w:type="dxa"/>
          </w:tcPr>
          <w:p>
            <w:pPr>
              <w:widowControl/>
              <w:spacing w:line="260" w:lineRule="exact"/>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618" w:type="dxa"/>
            <w:vMerge w:val="continue"/>
            <w:vAlign w:val="center"/>
          </w:tcPr>
          <w:p>
            <w:pPr>
              <w:widowControl/>
              <w:spacing w:line="260" w:lineRule="exact"/>
              <w:jc w:val="left"/>
              <w:rPr>
                <w:color w:val="000000"/>
                <w:kern w:val="0"/>
                <w:sz w:val="20"/>
                <w:szCs w:val="20"/>
              </w:rPr>
            </w:pPr>
          </w:p>
        </w:tc>
        <w:tc>
          <w:tcPr>
            <w:tcW w:w="2113" w:type="dxa"/>
            <w:vMerge w:val="continue"/>
            <w:vAlign w:val="center"/>
          </w:tcPr>
          <w:p>
            <w:pPr>
              <w:widowControl/>
              <w:spacing w:line="260" w:lineRule="exact"/>
              <w:jc w:val="left"/>
              <w:rPr>
                <w:color w:val="000000"/>
                <w:kern w:val="0"/>
                <w:sz w:val="20"/>
                <w:szCs w:val="20"/>
              </w:rPr>
            </w:pPr>
          </w:p>
        </w:tc>
        <w:tc>
          <w:tcPr>
            <w:tcW w:w="3535" w:type="dxa"/>
            <w:vAlign w:val="center"/>
          </w:tcPr>
          <w:p>
            <w:pPr>
              <w:widowControl/>
              <w:spacing w:line="260" w:lineRule="exact"/>
              <w:jc w:val="center"/>
              <w:rPr>
                <w:color w:val="000000"/>
                <w:kern w:val="0"/>
                <w:sz w:val="20"/>
                <w:szCs w:val="20"/>
              </w:rPr>
            </w:pPr>
            <w:r>
              <w:rPr>
                <w:color w:val="000000"/>
                <w:kern w:val="0"/>
                <w:sz w:val="20"/>
                <w:szCs w:val="20"/>
              </w:rPr>
              <w:t xml:space="preserve">服务对象满意度    </w:t>
            </w:r>
          </w:p>
        </w:tc>
        <w:tc>
          <w:tcPr>
            <w:tcW w:w="1311" w:type="dxa"/>
            <w:vAlign w:val="center"/>
          </w:tcPr>
          <w:p>
            <w:pPr>
              <w:widowControl/>
              <w:spacing w:line="260" w:lineRule="exact"/>
              <w:jc w:val="center"/>
              <w:rPr>
                <w:color w:val="000000"/>
                <w:kern w:val="0"/>
                <w:sz w:val="20"/>
                <w:szCs w:val="20"/>
              </w:rPr>
            </w:pPr>
            <w:r>
              <w:rPr>
                <w:color w:val="000000"/>
                <w:kern w:val="0"/>
                <w:sz w:val="20"/>
                <w:szCs w:val="20"/>
              </w:rPr>
              <w:t>10</w:t>
            </w:r>
          </w:p>
        </w:tc>
        <w:tc>
          <w:tcPr>
            <w:tcW w:w="1311" w:type="dxa"/>
          </w:tcPr>
          <w:p>
            <w:pPr>
              <w:widowControl/>
              <w:spacing w:line="260" w:lineRule="exact"/>
              <w:jc w:val="center"/>
              <w:rPr>
                <w:color w:val="000000"/>
                <w:kern w:val="0"/>
                <w:szCs w:val="21"/>
              </w:rPr>
            </w:pPr>
            <w:r>
              <w:rPr>
                <w:color w:val="000000"/>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618" w:type="dxa"/>
            <w:vAlign w:val="center"/>
          </w:tcPr>
          <w:p>
            <w:pPr>
              <w:widowControl/>
              <w:spacing w:line="260" w:lineRule="exact"/>
              <w:jc w:val="left"/>
              <w:rPr>
                <w:color w:val="000000"/>
                <w:kern w:val="0"/>
                <w:sz w:val="20"/>
                <w:szCs w:val="20"/>
              </w:rPr>
            </w:pPr>
            <w:r>
              <w:rPr>
                <w:color w:val="000000"/>
                <w:kern w:val="0"/>
                <w:sz w:val="20"/>
                <w:szCs w:val="20"/>
              </w:rPr>
              <w:t>总分</w:t>
            </w:r>
          </w:p>
        </w:tc>
        <w:tc>
          <w:tcPr>
            <w:tcW w:w="8270" w:type="dxa"/>
            <w:gridSpan w:val="4"/>
            <w:vAlign w:val="center"/>
          </w:tcPr>
          <w:p>
            <w:pPr>
              <w:widowControl/>
              <w:spacing w:line="260" w:lineRule="exact"/>
              <w:jc w:val="center"/>
              <w:rPr>
                <w:color w:val="000000"/>
                <w:kern w:val="0"/>
                <w:sz w:val="15"/>
                <w:szCs w:val="15"/>
              </w:rPr>
            </w:pPr>
            <w:r>
              <w:rPr>
                <w:color w:val="000000"/>
                <w:kern w:val="0"/>
                <w:szCs w:val="21"/>
              </w:rPr>
              <w:t>92</w:t>
            </w:r>
          </w:p>
        </w:tc>
      </w:tr>
    </w:tbl>
    <w:p>
      <w:pPr>
        <w:spacing w:line="580" w:lineRule="exact"/>
        <w:ind w:firstLine="640" w:firstLineChars="200"/>
        <w:rPr>
          <w:rFonts w:ascii="仿宋" w:hAnsi="仿宋" w:eastAsia="仿宋" w:cs="仿宋_GB2312"/>
          <w:sz w:val="32"/>
          <w:szCs w:val="32"/>
        </w:rPr>
      </w:pP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该项目实施非常有</w:t>
      </w:r>
      <w:r>
        <w:rPr>
          <w:rFonts w:ascii="仿宋" w:hAnsi="仿宋" w:eastAsia="仿宋" w:cs="仿宋_GB2312"/>
          <w:sz w:val="32"/>
          <w:szCs w:val="32"/>
        </w:rPr>
        <w:t>必要性和可行性</w:t>
      </w:r>
      <w:r>
        <w:rPr>
          <w:rFonts w:hint="eastAsia" w:ascii="仿宋" w:hAnsi="仿宋" w:eastAsia="仿宋" w:cs="仿宋_GB2312"/>
          <w:sz w:val="32"/>
          <w:szCs w:val="32"/>
        </w:rPr>
        <w:t>，是实现纪检监察工作智能化管理的探索。</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该项目为政府采购项目，经公开招标采购后，按合同约定付款。</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w:t>
      </w:r>
      <w:r>
        <w:rPr>
          <w:rFonts w:hint="eastAsia" w:ascii="仿宋" w:hAnsi="仿宋" w:eastAsia="仿宋" w:cs="仿宋_GB2312"/>
          <w:sz w:val="32"/>
          <w:szCs w:val="32"/>
        </w:rPr>
        <w:t>良好</w:t>
      </w:r>
      <w:r>
        <w:rPr>
          <w:rFonts w:ascii="仿宋" w:hAnsi="仿宋" w:eastAsia="仿宋" w:cs="仿宋_GB2312"/>
          <w:sz w:val="32"/>
          <w:szCs w:val="32"/>
        </w:rPr>
        <w:t>，项目效益</w:t>
      </w:r>
      <w:r>
        <w:rPr>
          <w:rFonts w:hint="eastAsia" w:ascii="仿宋" w:hAnsi="仿宋" w:eastAsia="仿宋" w:cs="仿宋_GB2312"/>
          <w:sz w:val="32"/>
          <w:szCs w:val="32"/>
        </w:rPr>
        <w:t>逐渐显现</w:t>
      </w:r>
      <w:r>
        <w:rPr>
          <w:rFonts w:ascii="仿宋" w:hAnsi="仿宋" w:eastAsia="仿宋" w:cs="仿宋_GB2312"/>
          <w:sz w:val="32"/>
          <w:szCs w:val="32"/>
        </w:rPr>
        <w:t>。</w:t>
      </w:r>
    </w:p>
    <w:p>
      <w:pPr>
        <w:pStyle w:val="23"/>
        <w:numPr>
          <w:ilvl w:val="0"/>
          <w:numId w:val="2"/>
        </w:numPr>
        <w:spacing w:line="580" w:lineRule="exact"/>
        <w:ind w:firstLineChars="0"/>
        <w:rPr>
          <w:rFonts w:ascii="仿宋" w:hAnsi="仿宋" w:eastAsia="仿宋" w:cs="仿宋_GB2312"/>
          <w:sz w:val="32"/>
          <w:szCs w:val="32"/>
        </w:rPr>
      </w:pPr>
      <w:r>
        <w:rPr>
          <w:rFonts w:ascii="仿宋" w:hAnsi="仿宋" w:eastAsia="仿宋" w:cs="仿宋_GB2312"/>
          <w:sz w:val="32"/>
          <w:szCs w:val="32"/>
        </w:rPr>
        <w:t>存在主要问题</w:t>
      </w:r>
    </w:p>
    <w:p>
      <w:pPr>
        <w:pStyle w:val="23"/>
        <w:spacing w:line="580" w:lineRule="exact"/>
        <w:ind w:left="142" w:firstLine="566" w:firstLineChars="177"/>
        <w:rPr>
          <w:rFonts w:ascii="仿宋" w:hAnsi="仿宋" w:eastAsia="仿宋" w:cs="仿宋_GB2312"/>
          <w:sz w:val="32"/>
          <w:szCs w:val="32"/>
        </w:rPr>
      </w:pPr>
      <w:r>
        <w:rPr>
          <w:rFonts w:hint="eastAsia" w:ascii="仿宋" w:hAnsi="仿宋" w:eastAsia="仿宋" w:cs="仿宋_GB2312"/>
          <w:sz w:val="32"/>
          <w:szCs w:val="32"/>
        </w:rPr>
        <w:t>该廉政风险防控平台还属于试运行阶段，很多功能及作用还在探索中，短时间内效果不是很显著。</w:t>
      </w:r>
    </w:p>
    <w:p>
      <w:pPr>
        <w:pStyle w:val="23"/>
        <w:numPr>
          <w:ilvl w:val="0"/>
          <w:numId w:val="2"/>
        </w:numPr>
        <w:spacing w:line="580" w:lineRule="exact"/>
        <w:ind w:hanging="651" w:firstLineChars="0"/>
        <w:rPr>
          <w:rFonts w:ascii="仿宋" w:hAnsi="仿宋" w:eastAsia="仿宋" w:cs="仿宋_GB2312"/>
          <w:sz w:val="32"/>
          <w:szCs w:val="32"/>
        </w:rPr>
      </w:pPr>
      <w:r>
        <w:rPr>
          <w:rFonts w:ascii="仿宋" w:hAnsi="仿宋" w:eastAsia="仿宋" w:cs="仿宋_GB2312"/>
          <w:sz w:val="32"/>
          <w:szCs w:val="32"/>
        </w:rPr>
        <w:t>相关措施建议</w:t>
      </w:r>
    </w:p>
    <w:p>
      <w:pPr>
        <w:pStyle w:val="23"/>
        <w:spacing w:line="580" w:lineRule="exact"/>
        <w:ind w:left="142" w:firstLine="707" w:firstLineChars="221"/>
        <w:rPr>
          <w:rStyle w:val="24"/>
          <w:rFonts w:ascii="仿宋" w:hAnsi="仿宋" w:eastAsia="仿宋" w:cs="仿宋_GB2312"/>
          <w:b w:val="0"/>
          <w:bCs w:val="0"/>
          <w:kern w:val="2"/>
          <w:sz w:val="32"/>
          <w:szCs w:val="32"/>
        </w:rPr>
      </w:pPr>
      <w:r>
        <w:rPr>
          <w:rStyle w:val="24"/>
          <w:rFonts w:hint="eastAsia" w:ascii="仿宋" w:hAnsi="仿宋" w:eastAsia="仿宋" w:cs="仿宋_GB2312"/>
          <w:b w:val="0"/>
          <w:bCs w:val="0"/>
          <w:kern w:val="2"/>
          <w:sz w:val="32"/>
          <w:szCs w:val="32"/>
        </w:rPr>
        <w:t>加大对平台使用者的业务培训，让平台能够更好地发挥应有的效果及社会影响。</w:t>
      </w: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pStyle w:val="23"/>
        <w:spacing w:line="580" w:lineRule="exact"/>
        <w:ind w:left="1360" w:firstLine="0" w:firstLineChars="0"/>
        <w:rPr>
          <w:rStyle w:val="24"/>
          <w:rFonts w:ascii="仿宋" w:hAnsi="仿宋" w:eastAsia="仿宋" w:cs="仿宋_GB2312"/>
          <w:b w:val="0"/>
          <w:bCs w:val="0"/>
          <w:kern w:val="2"/>
          <w:sz w:val="32"/>
          <w:szCs w:val="32"/>
        </w:rPr>
      </w:pPr>
    </w:p>
    <w:p>
      <w:pPr>
        <w:spacing w:line="600" w:lineRule="exact"/>
        <w:jc w:val="center"/>
        <w:outlineLvl w:val="0"/>
        <w:rPr>
          <w:rStyle w:val="24"/>
          <w:rFonts w:ascii="黑体" w:hAnsi="黑体" w:eastAsia="黑体"/>
          <w:b w:val="0"/>
        </w:rPr>
      </w:pPr>
      <w:bookmarkStart w:id="66" w:name="_Toc15396618"/>
      <w:r>
        <w:rPr>
          <w:rFonts w:hint="eastAsia" w:ascii="黑体" w:hAnsi="黑体" w:eastAsia="黑体"/>
          <w:color w:val="000000"/>
          <w:sz w:val="44"/>
          <w:szCs w:val="44"/>
        </w:rPr>
        <w:t>第</w:t>
      </w:r>
      <w:r>
        <w:rPr>
          <w:rStyle w:val="24"/>
          <w:rFonts w:hint="eastAsia" w:ascii="黑体" w:hAnsi="黑体" w:eastAsia="黑体"/>
          <w:b w:val="0"/>
        </w:rPr>
        <w:t>五部分 附表</w:t>
      </w:r>
      <w:bookmarkEnd w:id="62"/>
      <w:bookmarkEnd w:id="66"/>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7" w:name="_Toc15396619"/>
      <w:r>
        <w:rPr>
          <w:rFonts w:hint="eastAsia" w:ascii="仿宋" w:hAnsi="仿宋" w:eastAsia="仿宋"/>
          <w:b w:val="0"/>
          <w:color w:val="000000"/>
        </w:rPr>
        <w:t>一、收</w:t>
      </w:r>
      <w:r>
        <w:rPr>
          <w:rStyle w:val="25"/>
          <w:rFonts w:hint="eastAsia" w:ascii="仿宋" w:hAnsi="仿宋" w:eastAsia="仿宋"/>
          <w:b w:val="0"/>
          <w:bCs w:val="0"/>
        </w:rPr>
        <w:t>入支出决算总表</w:t>
      </w:r>
      <w:bookmarkEnd w:id="67"/>
    </w:p>
    <w:p>
      <w:pPr>
        <w:pStyle w:val="3"/>
        <w:rPr>
          <w:rFonts w:ascii="仿宋" w:hAnsi="仿宋" w:eastAsia="仿宋"/>
          <w:color w:val="000000"/>
        </w:rPr>
      </w:pPr>
      <w:bookmarkStart w:id="68" w:name="_Toc15396620"/>
      <w:r>
        <w:rPr>
          <w:rFonts w:hint="eastAsia" w:ascii="仿宋" w:hAnsi="仿宋" w:eastAsia="仿宋"/>
          <w:b w:val="0"/>
          <w:color w:val="000000"/>
        </w:rPr>
        <w:t>二、收</w:t>
      </w:r>
      <w:r>
        <w:rPr>
          <w:rStyle w:val="25"/>
          <w:rFonts w:hint="eastAsia" w:ascii="仿宋" w:hAnsi="仿宋" w:eastAsia="仿宋"/>
          <w:b w:val="0"/>
          <w:bCs w:val="0"/>
        </w:rPr>
        <w:t>入总表</w:t>
      </w:r>
      <w:bookmarkEnd w:id="68"/>
    </w:p>
    <w:p>
      <w:pPr>
        <w:pStyle w:val="3"/>
        <w:rPr>
          <w:rFonts w:ascii="仿宋" w:hAnsi="仿宋" w:eastAsia="仿宋"/>
          <w:color w:val="000000"/>
        </w:rPr>
      </w:pPr>
      <w:bookmarkStart w:id="69" w:name="_Toc15396621"/>
      <w:r>
        <w:rPr>
          <w:rStyle w:val="25"/>
          <w:rFonts w:hint="eastAsia" w:ascii="仿宋" w:hAnsi="仿宋" w:eastAsia="仿宋"/>
          <w:b w:val="0"/>
          <w:bCs w:val="0"/>
        </w:rPr>
        <w:t>三、</w:t>
      </w:r>
      <w:r>
        <w:rPr>
          <w:rFonts w:hint="eastAsia" w:ascii="仿宋" w:hAnsi="仿宋" w:eastAsia="仿宋"/>
          <w:b w:val="0"/>
          <w:color w:val="000000"/>
        </w:rPr>
        <w:t>支</w:t>
      </w:r>
      <w:r>
        <w:rPr>
          <w:rStyle w:val="25"/>
          <w:rFonts w:hint="eastAsia" w:ascii="仿宋" w:hAnsi="仿宋" w:eastAsia="仿宋"/>
          <w:b w:val="0"/>
          <w:bCs w:val="0"/>
        </w:rPr>
        <w:t>出总表</w:t>
      </w:r>
      <w:bookmarkEnd w:id="69"/>
    </w:p>
    <w:p>
      <w:pPr>
        <w:pStyle w:val="3"/>
        <w:rPr>
          <w:rFonts w:ascii="仿宋" w:hAnsi="仿宋" w:eastAsia="仿宋"/>
          <w:b w:val="0"/>
          <w:color w:val="000000"/>
        </w:rPr>
      </w:pPr>
      <w:bookmarkStart w:id="70" w:name="_Toc15396622"/>
      <w:r>
        <w:rPr>
          <w:rStyle w:val="25"/>
          <w:rFonts w:hint="eastAsia" w:ascii="仿宋" w:hAnsi="仿宋" w:eastAsia="仿宋"/>
          <w:b w:val="0"/>
          <w:bCs w:val="0"/>
        </w:rPr>
        <w:t>四、</w:t>
      </w:r>
      <w:r>
        <w:rPr>
          <w:rFonts w:hint="eastAsia" w:ascii="仿宋" w:hAnsi="仿宋" w:eastAsia="仿宋"/>
          <w:b w:val="0"/>
          <w:color w:val="000000"/>
        </w:rPr>
        <w:t>财</w:t>
      </w:r>
      <w:r>
        <w:rPr>
          <w:rStyle w:val="25"/>
          <w:rFonts w:hint="eastAsia" w:ascii="仿宋" w:hAnsi="仿宋" w:eastAsia="仿宋"/>
          <w:b w:val="0"/>
          <w:bCs w:val="0"/>
        </w:rPr>
        <w:t>政拨款收入支出决算总表</w:t>
      </w:r>
      <w:bookmarkEnd w:id="70"/>
    </w:p>
    <w:p>
      <w:pPr>
        <w:pStyle w:val="3"/>
        <w:rPr>
          <w:rFonts w:ascii="仿宋" w:hAnsi="仿宋" w:eastAsia="仿宋"/>
          <w:color w:val="000000"/>
        </w:rPr>
      </w:pPr>
      <w:bookmarkStart w:id="71" w:name="_Toc15396623"/>
      <w:r>
        <w:rPr>
          <w:rStyle w:val="25"/>
          <w:rFonts w:hint="eastAsia" w:ascii="仿宋" w:hAnsi="仿宋" w:eastAsia="仿宋"/>
          <w:b w:val="0"/>
          <w:bCs w:val="0"/>
        </w:rPr>
        <w:t>五、</w:t>
      </w:r>
      <w:r>
        <w:rPr>
          <w:rFonts w:hint="eastAsia" w:ascii="仿宋" w:hAnsi="仿宋" w:eastAsia="仿宋"/>
          <w:b w:val="0"/>
          <w:color w:val="000000"/>
        </w:rPr>
        <w:t>财</w:t>
      </w:r>
      <w:r>
        <w:rPr>
          <w:rStyle w:val="25"/>
          <w:rFonts w:hint="eastAsia" w:ascii="仿宋" w:hAnsi="仿宋" w:eastAsia="仿宋"/>
          <w:b w:val="0"/>
          <w:bCs w:val="0"/>
        </w:rPr>
        <w:t>政拨款支出决算明细表（政府经济分类科目）</w:t>
      </w:r>
      <w:bookmarkEnd w:id="71"/>
    </w:p>
    <w:p>
      <w:pPr>
        <w:pStyle w:val="3"/>
        <w:rPr>
          <w:rFonts w:ascii="仿宋" w:hAnsi="仿宋" w:eastAsia="仿宋"/>
          <w:color w:val="000000"/>
        </w:rPr>
      </w:pPr>
      <w:bookmarkStart w:id="72" w:name="_Toc15396624"/>
      <w:r>
        <w:rPr>
          <w:rStyle w:val="25"/>
          <w:rFonts w:hint="eastAsia" w:ascii="仿宋" w:hAnsi="仿宋" w:eastAsia="仿宋"/>
          <w:b w:val="0"/>
          <w:bCs w:val="0"/>
        </w:rPr>
        <w:t>六、</w:t>
      </w:r>
      <w:r>
        <w:rPr>
          <w:rFonts w:hint="eastAsia" w:ascii="仿宋" w:hAnsi="仿宋" w:eastAsia="仿宋"/>
          <w:b w:val="0"/>
          <w:color w:val="000000"/>
        </w:rPr>
        <w:t>一</w:t>
      </w:r>
      <w:r>
        <w:rPr>
          <w:rStyle w:val="25"/>
          <w:rFonts w:hint="eastAsia" w:ascii="仿宋" w:hAnsi="仿宋" w:eastAsia="仿宋"/>
          <w:b w:val="0"/>
          <w:bCs w:val="0"/>
        </w:rPr>
        <w:t>般公共预算财政拨款支出决算表</w:t>
      </w:r>
      <w:bookmarkEnd w:id="72"/>
    </w:p>
    <w:p>
      <w:pPr>
        <w:pStyle w:val="3"/>
        <w:rPr>
          <w:rFonts w:ascii="仿宋" w:hAnsi="仿宋" w:eastAsia="仿宋"/>
          <w:color w:val="000000"/>
        </w:rPr>
      </w:pPr>
      <w:bookmarkStart w:id="73" w:name="_Toc15396625"/>
      <w:r>
        <w:rPr>
          <w:rStyle w:val="25"/>
          <w:rFonts w:hint="eastAsia" w:ascii="仿宋" w:hAnsi="仿宋" w:eastAsia="仿宋"/>
          <w:b w:val="0"/>
          <w:bCs w:val="0"/>
        </w:rPr>
        <w:t>七、</w:t>
      </w:r>
      <w:r>
        <w:rPr>
          <w:rFonts w:hint="eastAsia" w:ascii="仿宋" w:hAnsi="仿宋" w:eastAsia="仿宋"/>
          <w:b w:val="0"/>
          <w:color w:val="000000"/>
        </w:rPr>
        <w:t>一</w:t>
      </w:r>
      <w:r>
        <w:rPr>
          <w:rStyle w:val="25"/>
          <w:rFonts w:hint="eastAsia" w:ascii="仿宋" w:hAnsi="仿宋" w:eastAsia="仿宋"/>
          <w:b w:val="0"/>
          <w:bCs w:val="0"/>
        </w:rPr>
        <w:t>般公共预算财政拨款支出决算明细表</w:t>
      </w:r>
      <w:bookmarkEnd w:id="73"/>
    </w:p>
    <w:p>
      <w:pPr>
        <w:pStyle w:val="3"/>
        <w:rPr>
          <w:rFonts w:ascii="仿宋" w:hAnsi="仿宋" w:eastAsia="仿宋"/>
          <w:color w:val="000000"/>
        </w:rPr>
      </w:pPr>
      <w:bookmarkStart w:id="74" w:name="_Toc15396626"/>
      <w:r>
        <w:rPr>
          <w:rStyle w:val="25"/>
          <w:rFonts w:hint="eastAsia" w:ascii="仿宋" w:hAnsi="仿宋" w:eastAsia="仿宋"/>
          <w:b w:val="0"/>
          <w:bCs w:val="0"/>
        </w:rPr>
        <w:t>八、</w:t>
      </w:r>
      <w:r>
        <w:rPr>
          <w:rFonts w:hint="eastAsia" w:ascii="仿宋" w:hAnsi="仿宋" w:eastAsia="仿宋"/>
          <w:b w:val="0"/>
          <w:color w:val="000000"/>
        </w:rPr>
        <w:t>一</w:t>
      </w:r>
      <w:r>
        <w:rPr>
          <w:rStyle w:val="25"/>
          <w:rFonts w:hint="eastAsia" w:ascii="仿宋" w:hAnsi="仿宋" w:eastAsia="仿宋"/>
          <w:b w:val="0"/>
          <w:bCs w:val="0"/>
        </w:rPr>
        <w:t>般公共预算财政拨款基本支出决算表</w:t>
      </w:r>
      <w:bookmarkEnd w:id="74"/>
    </w:p>
    <w:p>
      <w:pPr>
        <w:pStyle w:val="3"/>
        <w:rPr>
          <w:rFonts w:ascii="仿宋" w:hAnsi="仿宋" w:eastAsia="仿宋"/>
          <w:color w:val="000000"/>
        </w:rPr>
      </w:pPr>
      <w:bookmarkStart w:id="75" w:name="_Toc15396627"/>
      <w:r>
        <w:rPr>
          <w:rStyle w:val="25"/>
          <w:rFonts w:hint="eastAsia" w:ascii="仿宋" w:hAnsi="仿宋" w:eastAsia="仿宋"/>
          <w:b w:val="0"/>
          <w:bCs w:val="0"/>
        </w:rPr>
        <w:t>九、</w:t>
      </w:r>
      <w:r>
        <w:rPr>
          <w:rFonts w:hint="eastAsia" w:ascii="仿宋" w:hAnsi="仿宋" w:eastAsia="仿宋"/>
          <w:b w:val="0"/>
          <w:color w:val="000000"/>
        </w:rPr>
        <w:t>一</w:t>
      </w:r>
      <w:r>
        <w:rPr>
          <w:rStyle w:val="25"/>
          <w:rFonts w:hint="eastAsia" w:ascii="仿宋" w:hAnsi="仿宋" w:eastAsia="仿宋"/>
          <w:b w:val="0"/>
          <w:bCs w:val="0"/>
        </w:rPr>
        <w:t>般公共预算财政拨款项目支出决算表</w:t>
      </w:r>
      <w:bookmarkEnd w:id="75"/>
    </w:p>
    <w:p>
      <w:pPr>
        <w:pStyle w:val="3"/>
        <w:rPr>
          <w:rFonts w:ascii="仿宋" w:hAnsi="仿宋" w:eastAsia="仿宋"/>
          <w:color w:val="000000"/>
        </w:rPr>
      </w:pPr>
      <w:bookmarkStart w:id="76" w:name="_Toc15396628"/>
      <w:r>
        <w:rPr>
          <w:rStyle w:val="25"/>
          <w:rFonts w:hint="eastAsia" w:ascii="仿宋" w:hAnsi="仿宋" w:eastAsia="仿宋"/>
          <w:b w:val="0"/>
          <w:bCs w:val="0"/>
        </w:rPr>
        <w:t>十、</w:t>
      </w:r>
      <w:r>
        <w:rPr>
          <w:rFonts w:hint="eastAsia" w:ascii="仿宋" w:hAnsi="仿宋" w:eastAsia="仿宋"/>
          <w:b w:val="0"/>
          <w:color w:val="000000"/>
        </w:rPr>
        <w:t>一</w:t>
      </w:r>
      <w:r>
        <w:rPr>
          <w:rStyle w:val="25"/>
          <w:rFonts w:hint="eastAsia" w:ascii="仿宋" w:hAnsi="仿宋" w:eastAsia="仿宋"/>
          <w:b w:val="0"/>
          <w:bCs w:val="0"/>
        </w:rPr>
        <w:t>般公共预算财政拨款“三公”经费支出决算表</w:t>
      </w:r>
      <w:bookmarkEnd w:id="76"/>
    </w:p>
    <w:p>
      <w:pPr>
        <w:pStyle w:val="3"/>
        <w:rPr>
          <w:rFonts w:ascii="仿宋" w:hAnsi="仿宋" w:eastAsia="仿宋"/>
          <w:color w:val="000000"/>
        </w:rPr>
      </w:pPr>
      <w:bookmarkStart w:id="77" w:name="_Toc15396629"/>
      <w:r>
        <w:rPr>
          <w:rStyle w:val="25"/>
          <w:rFonts w:hint="eastAsia" w:ascii="仿宋" w:hAnsi="仿宋" w:eastAsia="仿宋"/>
          <w:b w:val="0"/>
          <w:bCs w:val="0"/>
        </w:rPr>
        <w:t>十一、</w:t>
      </w:r>
      <w:r>
        <w:rPr>
          <w:rFonts w:hint="eastAsia" w:ascii="仿宋" w:hAnsi="仿宋" w:eastAsia="仿宋"/>
          <w:b w:val="0"/>
          <w:color w:val="000000"/>
        </w:rPr>
        <w:t>政</w:t>
      </w:r>
      <w:r>
        <w:rPr>
          <w:rStyle w:val="25"/>
          <w:rFonts w:hint="eastAsia" w:ascii="仿宋" w:hAnsi="仿宋" w:eastAsia="仿宋"/>
          <w:b w:val="0"/>
          <w:bCs w:val="0"/>
        </w:rPr>
        <w:t>府性基金预算财政拨款收入支出决算表</w:t>
      </w:r>
      <w:bookmarkEnd w:id="77"/>
    </w:p>
    <w:p>
      <w:pPr>
        <w:pStyle w:val="3"/>
        <w:rPr>
          <w:rFonts w:ascii="仿宋" w:hAnsi="仿宋" w:eastAsia="仿宋"/>
          <w:color w:val="000000"/>
        </w:rPr>
      </w:pPr>
      <w:bookmarkStart w:id="78" w:name="_Toc15396630"/>
      <w:r>
        <w:rPr>
          <w:rStyle w:val="25"/>
          <w:rFonts w:hint="eastAsia" w:ascii="仿宋" w:hAnsi="仿宋" w:eastAsia="仿宋"/>
          <w:b w:val="0"/>
          <w:bCs w:val="0"/>
        </w:rPr>
        <w:t>十二、</w:t>
      </w:r>
      <w:r>
        <w:rPr>
          <w:rFonts w:hint="eastAsia" w:ascii="仿宋" w:hAnsi="仿宋" w:eastAsia="仿宋"/>
          <w:b w:val="0"/>
          <w:color w:val="000000"/>
        </w:rPr>
        <w:t>政</w:t>
      </w:r>
      <w:r>
        <w:rPr>
          <w:rStyle w:val="25"/>
          <w:rFonts w:hint="eastAsia" w:ascii="仿宋" w:hAnsi="仿宋" w:eastAsia="仿宋"/>
          <w:b w:val="0"/>
          <w:bCs w:val="0"/>
        </w:rPr>
        <w:t>府性基金预算财政拨款“三公”经费支出决算表</w:t>
      </w:r>
      <w:bookmarkEnd w:id="78"/>
    </w:p>
    <w:p>
      <w:pPr>
        <w:pStyle w:val="3"/>
        <w:rPr>
          <w:rFonts w:ascii="仿宋" w:hAnsi="仿宋" w:eastAsia="仿宋"/>
          <w:color w:val="000000" w:themeColor="text1"/>
          <w14:textFill>
            <w14:solidFill>
              <w14:schemeClr w14:val="tx1"/>
            </w14:solidFill>
          </w14:textFill>
        </w:rPr>
      </w:pPr>
      <w:bookmarkStart w:id="79" w:name="_Toc15396631"/>
      <w:r>
        <w:rPr>
          <w:rStyle w:val="25"/>
          <w:rFonts w:hint="eastAsia" w:ascii="仿宋" w:hAnsi="仿宋" w:eastAsia="仿宋"/>
          <w:b w:val="0"/>
          <w:bCs w:val="0"/>
        </w:rPr>
        <w:t>十三、</w:t>
      </w:r>
      <w:r>
        <w:rPr>
          <w:rFonts w:hint="eastAsia" w:ascii="仿宋" w:hAnsi="仿宋" w:eastAsia="仿宋"/>
          <w:b w:val="0"/>
          <w:color w:val="000000"/>
        </w:rPr>
        <w:t>国</w:t>
      </w:r>
      <w:r>
        <w:rPr>
          <w:rStyle w:val="25"/>
          <w:rFonts w:hint="eastAsia" w:ascii="仿宋" w:hAnsi="仿宋" w:eastAsia="仿宋"/>
          <w:b w:val="0"/>
          <w:bCs w:val="0"/>
        </w:rPr>
        <w:t>有资本经营预算支出决算表</w:t>
      </w:r>
      <w:bookmarkEnd w:id="79"/>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8"/>
          <w:jc w:val="center"/>
        </w:pPr>
        <w:r>
          <w:fldChar w:fldCharType="begin"/>
        </w:r>
        <w:r>
          <w:instrText xml:space="preserve">PAGE   \* MERGEFORMAT</w:instrText>
        </w:r>
        <w:r>
          <w:fldChar w:fldCharType="separate"/>
        </w:r>
        <w:r>
          <w:rPr>
            <w:lang w:val="zh-CN"/>
          </w:rPr>
          <w:t>3</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6BA7FD7"/>
    <w:multiLevelType w:val="multilevel"/>
    <w:tmpl w:val="16BA7FD7"/>
    <w:lvl w:ilvl="0" w:tentative="0">
      <w:start w:val="2"/>
      <w:numFmt w:val="japaneseCounting"/>
      <w:lvlText w:val="%1、"/>
      <w:lvlJc w:val="left"/>
      <w:pPr>
        <w:ind w:left="1350" w:hanging="720"/>
      </w:pPr>
      <w:rPr>
        <w:rFonts w:hint="default" w:ascii="黑体" w:hAnsi="Times New Roman" w:eastAsia="黑体" w:cs="Times New Roman"/>
        <w:b w:val="0"/>
        <w:color w:val="000000"/>
        <w:sz w:val="30"/>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6">
    <w:nsid w:val="4DD05F7C"/>
    <w:multiLevelType w:val="multilevel"/>
    <w:tmpl w:val="4DD05F7C"/>
    <w:lvl w:ilvl="0" w:tentative="0">
      <w:start w:val="2"/>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222C6"/>
    <w:rsid w:val="0002549F"/>
    <w:rsid w:val="00052FE4"/>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203EF"/>
    <w:rsid w:val="0014729F"/>
    <w:rsid w:val="00157BAB"/>
    <w:rsid w:val="001654D1"/>
    <w:rsid w:val="00174B2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54CBA"/>
    <w:rsid w:val="00260C38"/>
    <w:rsid w:val="002616C0"/>
    <w:rsid w:val="002662AA"/>
    <w:rsid w:val="00280496"/>
    <w:rsid w:val="00295495"/>
    <w:rsid w:val="002B2613"/>
    <w:rsid w:val="002F1818"/>
    <w:rsid w:val="002F567B"/>
    <w:rsid w:val="003216A9"/>
    <w:rsid w:val="00340E01"/>
    <w:rsid w:val="00360BEE"/>
    <w:rsid w:val="0037013F"/>
    <w:rsid w:val="00380C92"/>
    <w:rsid w:val="00381621"/>
    <w:rsid w:val="003A484F"/>
    <w:rsid w:val="003A521C"/>
    <w:rsid w:val="003B0BE0"/>
    <w:rsid w:val="003B0C1B"/>
    <w:rsid w:val="003B688C"/>
    <w:rsid w:val="003C0291"/>
    <w:rsid w:val="003C085D"/>
    <w:rsid w:val="003C39AE"/>
    <w:rsid w:val="003C47EF"/>
    <w:rsid w:val="003C7B60"/>
    <w:rsid w:val="003D1FB2"/>
    <w:rsid w:val="003D4C50"/>
    <w:rsid w:val="003D66DA"/>
    <w:rsid w:val="003E1310"/>
    <w:rsid w:val="003E6F55"/>
    <w:rsid w:val="00406254"/>
    <w:rsid w:val="0041084A"/>
    <w:rsid w:val="004223DE"/>
    <w:rsid w:val="00434489"/>
    <w:rsid w:val="00437085"/>
    <w:rsid w:val="00442A39"/>
    <w:rsid w:val="00443880"/>
    <w:rsid w:val="004456DD"/>
    <w:rsid w:val="004464F4"/>
    <w:rsid w:val="00471401"/>
    <w:rsid w:val="00473F31"/>
    <w:rsid w:val="0047767C"/>
    <w:rsid w:val="0048263A"/>
    <w:rsid w:val="00484419"/>
    <w:rsid w:val="00487E5D"/>
    <w:rsid w:val="004A711F"/>
    <w:rsid w:val="004B199D"/>
    <w:rsid w:val="004B4690"/>
    <w:rsid w:val="004E0A2D"/>
    <w:rsid w:val="004E206B"/>
    <w:rsid w:val="004E6DF7"/>
    <w:rsid w:val="004F0FBD"/>
    <w:rsid w:val="00501DD5"/>
    <w:rsid w:val="00505A47"/>
    <w:rsid w:val="00512FDA"/>
    <w:rsid w:val="00520DA0"/>
    <w:rsid w:val="00546DE3"/>
    <w:rsid w:val="00561D5D"/>
    <w:rsid w:val="005664BB"/>
    <w:rsid w:val="0057481D"/>
    <w:rsid w:val="0058486E"/>
    <w:rsid w:val="005D1C8B"/>
    <w:rsid w:val="005D3324"/>
    <w:rsid w:val="005D5CED"/>
    <w:rsid w:val="005F1A4C"/>
    <w:rsid w:val="00605688"/>
    <w:rsid w:val="006070AF"/>
    <w:rsid w:val="00607E6C"/>
    <w:rsid w:val="006101B1"/>
    <w:rsid w:val="00614E44"/>
    <w:rsid w:val="00622830"/>
    <w:rsid w:val="0062642C"/>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127B7"/>
    <w:rsid w:val="00720729"/>
    <w:rsid w:val="007416B6"/>
    <w:rsid w:val="00746F48"/>
    <w:rsid w:val="00750FF2"/>
    <w:rsid w:val="00753A0A"/>
    <w:rsid w:val="0075404D"/>
    <w:rsid w:val="0076182A"/>
    <w:rsid w:val="00767B7E"/>
    <w:rsid w:val="007770C3"/>
    <w:rsid w:val="00781011"/>
    <w:rsid w:val="00784D24"/>
    <w:rsid w:val="00785FBA"/>
    <w:rsid w:val="00786E4A"/>
    <w:rsid w:val="007875EB"/>
    <w:rsid w:val="0079426B"/>
    <w:rsid w:val="007B7A67"/>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514"/>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074B5"/>
    <w:rsid w:val="00923564"/>
    <w:rsid w:val="0092392E"/>
    <w:rsid w:val="009315F9"/>
    <w:rsid w:val="00946945"/>
    <w:rsid w:val="00951248"/>
    <w:rsid w:val="0095152F"/>
    <w:rsid w:val="00954C49"/>
    <w:rsid w:val="0097099F"/>
    <w:rsid w:val="00971997"/>
    <w:rsid w:val="00971FFC"/>
    <w:rsid w:val="00975E10"/>
    <w:rsid w:val="0098660A"/>
    <w:rsid w:val="009931C3"/>
    <w:rsid w:val="009A2E0A"/>
    <w:rsid w:val="009B2C43"/>
    <w:rsid w:val="009B4EAE"/>
    <w:rsid w:val="009B7573"/>
    <w:rsid w:val="009C22F4"/>
    <w:rsid w:val="009C2E98"/>
    <w:rsid w:val="009D3447"/>
    <w:rsid w:val="009D4711"/>
    <w:rsid w:val="009F1185"/>
    <w:rsid w:val="009F18CD"/>
    <w:rsid w:val="009F2A13"/>
    <w:rsid w:val="009F4973"/>
    <w:rsid w:val="00A04EB0"/>
    <w:rsid w:val="00A13CC1"/>
    <w:rsid w:val="00A16847"/>
    <w:rsid w:val="00A2341D"/>
    <w:rsid w:val="00A237D8"/>
    <w:rsid w:val="00A268C4"/>
    <w:rsid w:val="00A307CD"/>
    <w:rsid w:val="00A35064"/>
    <w:rsid w:val="00A40A00"/>
    <w:rsid w:val="00A4142F"/>
    <w:rsid w:val="00A56DF2"/>
    <w:rsid w:val="00A672C1"/>
    <w:rsid w:val="00A67AB5"/>
    <w:rsid w:val="00A91760"/>
    <w:rsid w:val="00A93B00"/>
    <w:rsid w:val="00A93C21"/>
    <w:rsid w:val="00AA08BE"/>
    <w:rsid w:val="00AC3C6A"/>
    <w:rsid w:val="00AD04A6"/>
    <w:rsid w:val="00AD5620"/>
    <w:rsid w:val="00AD7C1B"/>
    <w:rsid w:val="00AE16BA"/>
    <w:rsid w:val="00AE1EBE"/>
    <w:rsid w:val="00AF3F5C"/>
    <w:rsid w:val="00AF7DA7"/>
    <w:rsid w:val="00B03C9D"/>
    <w:rsid w:val="00B060AE"/>
    <w:rsid w:val="00B10517"/>
    <w:rsid w:val="00B14E76"/>
    <w:rsid w:val="00B161B8"/>
    <w:rsid w:val="00B2048C"/>
    <w:rsid w:val="00B310B9"/>
    <w:rsid w:val="00B349ED"/>
    <w:rsid w:val="00B3576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13ECE"/>
    <w:rsid w:val="00C33E72"/>
    <w:rsid w:val="00C354B2"/>
    <w:rsid w:val="00C35554"/>
    <w:rsid w:val="00C42709"/>
    <w:rsid w:val="00C533CC"/>
    <w:rsid w:val="00C5751C"/>
    <w:rsid w:val="00C61BFC"/>
    <w:rsid w:val="00C62B85"/>
    <w:rsid w:val="00C65438"/>
    <w:rsid w:val="00C7030D"/>
    <w:rsid w:val="00C91CBB"/>
    <w:rsid w:val="00CC09B6"/>
    <w:rsid w:val="00CC666F"/>
    <w:rsid w:val="00CD1E3F"/>
    <w:rsid w:val="00CE44F6"/>
    <w:rsid w:val="00CE49DA"/>
    <w:rsid w:val="00CE7B61"/>
    <w:rsid w:val="00D00095"/>
    <w:rsid w:val="00D05548"/>
    <w:rsid w:val="00D20620"/>
    <w:rsid w:val="00D26091"/>
    <w:rsid w:val="00D34E7C"/>
    <w:rsid w:val="00D35489"/>
    <w:rsid w:val="00D51276"/>
    <w:rsid w:val="00D7035F"/>
    <w:rsid w:val="00DA5116"/>
    <w:rsid w:val="00DA5745"/>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8777A"/>
    <w:rsid w:val="00EA010F"/>
    <w:rsid w:val="00ED1B63"/>
    <w:rsid w:val="00ED3C1F"/>
    <w:rsid w:val="00ED4085"/>
    <w:rsid w:val="00ED420E"/>
    <w:rsid w:val="00EE2F57"/>
    <w:rsid w:val="00EE5F45"/>
    <w:rsid w:val="00EF4C34"/>
    <w:rsid w:val="00EF77C6"/>
    <w:rsid w:val="00F05438"/>
    <w:rsid w:val="00F1361C"/>
    <w:rsid w:val="00F160C7"/>
    <w:rsid w:val="00F31BAE"/>
    <w:rsid w:val="00F32517"/>
    <w:rsid w:val="00F36D8F"/>
    <w:rsid w:val="00F417B1"/>
    <w:rsid w:val="00F602DF"/>
    <w:rsid w:val="00F723CD"/>
    <w:rsid w:val="00F72B7F"/>
    <w:rsid w:val="00F81FD9"/>
    <w:rsid w:val="00F841AA"/>
    <w:rsid w:val="00FA23E8"/>
    <w:rsid w:val="00FD3CC1"/>
    <w:rsid w:val="00FF1E02"/>
    <w:rsid w:val="00FF30B4"/>
    <w:rsid w:val="10C055FF"/>
    <w:rsid w:val="16BB723D"/>
    <w:rsid w:val="240371BF"/>
    <w:rsid w:val="29FD04D3"/>
    <w:rsid w:val="319F7F4E"/>
    <w:rsid w:val="7EEB4B3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5">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uiPriority w:val="99"/>
    <w:rPr>
      <w:sz w:val="18"/>
      <w:szCs w:val="18"/>
    </w:rPr>
  </w:style>
  <w:style w:type="paragraph" w:styleId="8">
    <w:name w:val="footer"/>
    <w:basedOn w:val="1"/>
    <w:link w:val="19"/>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22"/>
    <w:rPr>
      <w:b/>
    </w:rPr>
  </w:style>
  <w:style w:type="character" w:styleId="15">
    <w:name w:val="Hyperlink"/>
    <w:basedOn w:val="13"/>
    <w:unhideWhenUsed/>
    <w:uiPriority w:val="99"/>
    <w:rPr>
      <w:color w:val="0000FF" w:themeColor="hyperlink"/>
      <w:u w:val="single"/>
      <w14:textFill>
        <w14:solidFill>
          <w14:schemeClr w14:val="hlink"/>
        </w14:solidFill>
      </w14:textFill>
    </w:rPr>
  </w:style>
  <w:style w:type="character" w:customStyle="1" w:styleId="16">
    <w:name w:val="Header Char"/>
    <w:basedOn w:val="13"/>
    <w:semiHidden/>
    <w:uiPriority w:val="99"/>
    <w:rPr>
      <w:rFonts w:ascii="Times New Roman" w:hAnsi="Times New Roman"/>
      <w:sz w:val="18"/>
      <w:szCs w:val="18"/>
    </w:rPr>
  </w:style>
  <w:style w:type="character" w:customStyle="1" w:styleId="17">
    <w:name w:val="页眉 字符"/>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字符"/>
    <w:link w:val="8"/>
    <w:qFormat/>
    <w:locked/>
    <w:uiPriority w:val="99"/>
    <w:rPr>
      <w:sz w:val="18"/>
    </w:rPr>
  </w:style>
  <w:style w:type="character" w:customStyle="1" w:styleId="20">
    <w:name w:val="Body Text Char"/>
    <w:basedOn w:val="13"/>
    <w:semiHidden/>
    <w:uiPriority w:val="99"/>
    <w:rPr>
      <w:rFonts w:ascii="Times New Roman" w:hAnsi="Times New Roman"/>
      <w:szCs w:val="24"/>
    </w:rPr>
  </w:style>
  <w:style w:type="character" w:customStyle="1" w:styleId="21">
    <w:name w:val="正文文本 字符"/>
    <w:link w:val="5"/>
    <w:qFormat/>
    <w:locked/>
    <w:uiPriority w:val="99"/>
    <w:rPr>
      <w:rFonts w:ascii="仿宋_GB2312" w:hAnsi="Times New Roman" w:eastAsia="仿宋_GB2312"/>
      <w:sz w:val="24"/>
    </w:rPr>
  </w:style>
  <w:style w:type="paragraph" w:customStyle="1" w:styleId="22">
    <w:name w:val="Defaul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字符"/>
    <w:basedOn w:val="13"/>
    <w:link w:val="2"/>
    <w:uiPriority w:val="9"/>
    <w:rPr>
      <w:rFonts w:ascii="Times New Roman" w:hAnsi="Times New Roman"/>
      <w:b/>
      <w:bCs/>
      <w:kern w:val="44"/>
      <w:sz w:val="44"/>
      <w:szCs w:val="44"/>
    </w:rPr>
  </w:style>
  <w:style w:type="character" w:customStyle="1" w:styleId="25">
    <w:name w:val="标题 2 字符"/>
    <w:basedOn w:val="13"/>
    <w:link w:val="3"/>
    <w:uiPriority w:val="9"/>
    <w:rPr>
      <w:rFonts w:asciiTheme="majorHAnsi" w:hAnsiTheme="majorHAnsi" w:eastAsiaTheme="majorEastAsia" w:cstheme="majorBidi"/>
      <w:b/>
      <w:bCs/>
      <w:kern w:val="2"/>
      <w:sz w:val="32"/>
      <w:szCs w:val="32"/>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字符"/>
    <w:basedOn w:val="13"/>
    <w:link w:val="7"/>
    <w:semiHidden/>
    <w:uiPriority w:val="99"/>
    <w:rPr>
      <w:rFonts w:ascii="Times New Roman" w:hAnsi="Times New Roman"/>
      <w:kern w:val="2"/>
      <w:sz w:val="18"/>
      <w:szCs w:val="18"/>
    </w:rPr>
  </w:style>
  <w:style w:type="character" w:customStyle="1" w:styleId="28">
    <w:name w:val="标题 3 字符"/>
    <w:basedOn w:val="13"/>
    <w:link w:val="4"/>
    <w:uiPriority w:val="9"/>
    <w:rPr>
      <w:rFonts w:ascii="Times New Roman" w:hAnsi="Times New Roman"/>
      <w:b/>
      <w:bCs/>
      <w:kern w:val="2"/>
      <w:sz w:val="32"/>
      <w:szCs w:val="32"/>
    </w:rPr>
  </w:style>
  <w:style w:type="character" w:customStyle="1" w:styleId="29">
    <w:name w:val="正文文本 Char"/>
    <w:locked/>
    <w:uiPriority w:val="0"/>
    <w:rPr>
      <w:sz w:val="28"/>
      <w:szCs w:val="2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75F75C-D501-4BD6-B83F-785EE53D78DE}">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30</Pages>
  <Words>9665</Words>
  <Characters>3583</Characters>
  <Lines>29</Lines>
  <Paragraphs>26</Paragraphs>
  <TotalTime>1</TotalTime>
  <ScaleCrop>false</ScaleCrop>
  <LinksUpToDate>false</LinksUpToDate>
  <CharactersWithSpaces>13222</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2019-10-26T11:32:00Z</dcterms:created>
  <dc:creator>张彬茜</dc:creator>
  <cp:lastModifiedBy>Administrator</cp:lastModifiedBy>
  <cp:lastPrinted>2019-10-27T01:07:49Z</cp:lastPrinted>
  <dcterms:modified xsi:type="dcterms:W3CDTF">2019-10-27T01:14:45Z</dcterms:modified>
  <dc:title>四川省***</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