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600" w:lineRule="exact"/>
        <w:jc w:val="center"/>
        <w:outlineLvl w:val="0"/>
        <w:rPr>
          <w:rFonts w:ascii="方正小标宋简体" w:eastAsia="方正小标宋简体" w:hAnsi="宋体"/>
          <w:color w:val="000000"/>
          <w:sz w:val="72"/>
          <w:szCs w:val="72"/>
        </w:rPr>
      </w:pPr>
      <w:bookmarkStart w:id="0" w:name="_Toc15306267"/>
    </w:p>
    <w:p>
      <w:pPr>
        <w:spacing w:line="600" w:lineRule="exact"/>
        <w:jc w:val="center"/>
        <w:outlineLvl w:val="0"/>
        <w:rPr>
          <w:rFonts w:ascii="方正小标宋简体" w:eastAsia="方正小标宋简体" w:hAnsi="宋体"/>
          <w:color w:val="000000"/>
          <w:sz w:val="72"/>
          <w:szCs w:val="72"/>
        </w:rPr>
      </w:pPr>
    </w:p>
    <w:p>
      <w:pPr>
        <w:spacing w:line="600" w:lineRule="exact"/>
        <w:jc w:val="center"/>
        <w:outlineLvl w:val="0"/>
        <w:rPr>
          <w:rFonts w:ascii="方正小标宋简体" w:eastAsia="方正小标宋简体" w:hAnsi="宋体"/>
          <w:color w:val="000000"/>
          <w:sz w:val="72"/>
          <w:szCs w:val="72"/>
        </w:rPr>
      </w:pPr>
    </w:p>
    <w:p>
      <w:pPr>
        <w:spacing w:line="600" w:lineRule="exact"/>
        <w:jc w:val="center"/>
        <w:outlineLvl w:val="0"/>
        <w:rPr>
          <w:rFonts w:ascii="方正小标宋简体" w:eastAsia="方正小标宋简体" w:hAnsi="宋体"/>
          <w:color w:val="000000"/>
          <w:sz w:val="72"/>
          <w:szCs w:val="72"/>
        </w:rPr>
      </w:pPr>
    </w:p>
    <w:p>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77425"/>
      <w:bookmarkStart w:id="4" w:name="_Toc15377193"/>
      <w:bookmarkStart w:id="5" w:name="_Toc15396475"/>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攀枝花市仁和区环境监测站部门决算</w:t>
      </w:r>
      <w:bookmarkEnd w:id="6"/>
      <w:bookmarkEnd w:id="7"/>
      <w:bookmarkEnd w:id="8"/>
      <w:bookmarkEnd w:id="9"/>
      <w:bookmarkEnd w:id="10"/>
      <w:bookmarkEnd w:id="11"/>
    </w:p>
    <w:p>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p>
      <w:pPr>
        <w:pStyle w:val="10"/>
        <w:rPr>
          <w:rFonts w:cstheme="minorBidi"/>
        </w:rPr>
      </w:pPr>
      <w:hyperlink w:anchor="_Toc15396599" w:history="1">
        <w:r>
          <w:rPr>
            <w:rStyle w:val="a8"/>
            <w:rFonts w:hint="eastAsia"/>
          </w:rPr>
          <w:t>第一部分部门概况</w:t>
        </w:r>
        <w:r>
          <w:tab/>
        </w:r>
        <w:r>
          <w:rPr>
            <w:rFonts w:hint="eastAsia"/>
          </w:rPr>
          <w:t>4</w:t>
        </w:r>
      </w:hyperlink>
    </w:p>
    <w:p>
      <w:pPr>
        <w:pStyle w:val="20"/>
        <w:rPr>
          <w:rFonts w:ascii="仿宋" w:eastAsia="仿宋" w:hAnsi="仿宋" w:cstheme="minorBidi"/>
          <w:sz w:val="28"/>
          <w:szCs w:val="28"/>
        </w:rPr>
      </w:pPr>
      <w:hyperlink w:anchor="_Toc15396600" w:history="1">
        <w:r>
          <w:rPr>
            <w:rStyle w:val="a8"/>
            <w:rFonts w:ascii="仿宋" w:eastAsia="仿宋" w:hAnsi="仿宋" w:hint="eastAsia"/>
            <w:sz w:val="28"/>
            <w:szCs w:val="28"/>
          </w:rPr>
          <w:t>一、基本职能及主要工作</w:t>
        </w:r>
        <w:r>
          <w:rPr>
            <w:rFonts w:ascii="仿宋" w:eastAsia="仿宋" w:hAnsi="仿宋"/>
            <w:sz w:val="28"/>
            <w:szCs w:val="28"/>
          </w:rPr>
          <w:tab/>
        </w:r>
        <w:r>
          <w:rPr>
            <w:rFonts w:ascii="仿宋" w:eastAsia="仿宋" w:hAnsi="仿宋" w:hint="eastAsia"/>
            <w:sz w:val="28"/>
            <w:szCs w:val="28"/>
          </w:rPr>
          <w:t>4</w:t>
        </w:r>
      </w:hyperlink>
    </w:p>
    <w:p>
      <w:pPr>
        <w:pStyle w:val="20"/>
        <w:rPr>
          <w:rFonts w:ascii="仿宋" w:eastAsia="仿宋" w:hAnsi="仿宋" w:cstheme="minorBidi"/>
          <w:sz w:val="28"/>
          <w:szCs w:val="28"/>
        </w:rPr>
      </w:pPr>
      <w:hyperlink w:anchor="_Toc15396601" w:history="1">
        <w:r>
          <w:rPr>
            <w:rStyle w:val="a8"/>
            <w:rFonts w:ascii="仿宋" w:eastAsia="仿宋" w:hAnsi="仿宋" w:hint="eastAsia"/>
            <w:sz w:val="28"/>
            <w:szCs w:val="28"/>
          </w:rPr>
          <w:t>二、机构设置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5</w:t>
        </w:r>
        <w:r>
          <w:rPr>
            <w:rFonts w:ascii="仿宋" w:eastAsia="仿宋" w:hAnsi="仿宋"/>
            <w:sz w:val="28"/>
            <w:szCs w:val="28"/>
          </w:rPr>
          <w:fldChar w:fldCharType="end"/>
        </w:r>
      </w:hyperlink>
    </w:p>
    <w:p>
      <w:pPr>
        <w:pStyle w:val="10"/>
      </w:pPr>
      <w:hyperlink w:anchor="_Toc15396602" w:history="1">
        <w:r>
          <w:rPr>
            <w:rStyle w:val="a8"/>
            <w:rFonts w:hint="eastAsia"/>
          </w:rPr>
          <w:t>第二部分</w:t>
        </w:r>
        <w:r>
          <w:rPr>
            <w:rStyle w:val="a8"/>
          </w:rPr>
          <w:t xml:space="preserve"> 2018</w:t>
        </w:r>
        <w:r>
          <w:rPr>
            <w:rStyle w:val="a8"/>
            <w:rFonts w:hint="eastAsia"/>
          </w:rPr>
          <w:t>年度部门决算情况说明</w:t>
        </w:r>
        <w:r>
          <w:tab/>
        </w:r>
        <w:r>
          <w:fldChar w:fldCharType="begin"/>
        </w:r>
        <w:r>
          <w:instrText xml:space="preserve"> PAGEREF _Toc15396602 \h </w:instrText>
        </w:r>
        <w:r>
          <w:fldChar w:fldCharType="separate"/>
        </w:r>
        <w:r>
          <w:rPr>
            <w:noProof/>
          </w:rPr>
          <w:t>6</w:t>
        </w:r>
        <w:r>
          <w:fldChar w:fldCharType="end"/>
        </w:r>
      </w:hyperlink>
    </w:p>
    <w:p>
      <w:pPr>
        <w:pStyle w:val="20"/>
        <w:rPr>
          <w:rFonts w:ascii="仿宋" w:eastAsia="仿宋" w:hAnsi="仿宋" w:cstheme="minorBidi"/>
          <w:sz w:val="28"/>
          <w:szCs w:val="28"/>
        </w:rPr>
      </w:pPr>
      <w:hyperlink w:anchor="_Toc15396603" w:history="1">
        <w:r>
          <w:rPr>
            <w:rStyle w:val="a8"/>
            <w:rFonts w:ascii="仿宋" w:eastAsia="仿宋" w:hAnsi="仿宋" w:cstheme="majorBidi" w:hint="eastAsia"/>
            <w:bCs/>
            <w:sz w:val="28"/>
            <w:szCs w:val="28"/>
          </w:rPr>
          <w:t>一、</w:t>
        </w:r>
        <w:r>
          <w:rPr>
            <w:rStyle w:val="a8"/>
            <w:rFonts w:ascii="仿宋" w:eastAsia="仿宋" w:hAnsi="仿宋" w:hint="eastAsia"/>
            <w:sz w:val="28"/>
            <w:szCs w:val="28"/>
          </w:rPr>
          <w:t>收</w:t>
        </w:r>
        <w:r>
          <w:rPr>
            <w:rStyle w:val="a8"/>
            <w:rFonts w:ascii="仿宋" w:eastAsia="仿宋" w:hAnsi="仿宋" w:cstheme="majorBidi" w:hint="eastAsia"/>
            <w:bCs/>
            <w:sz w:val="28"/>
            <w:szCs w:val="28"/>
          </w:rPr>
          <w:t>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4" w:history="1">
        <w:r>
          <w:rPr>
            <w:rStyle w:val="a8"/>
            <w:rFonts w:ascii="仿宋" w:eastAsia="仿宋" w:hAnsi="仿宋" w:cstheme="majorBidi" w:hint="eastAsia"/>
            <w:bCs/>
            <w:sz w:val="28"/>
            <w:szCs w:val="28"/>
          </w:rPr>
          <w:t>二、</w:t>
        </w:r>
        <w:r>
          <w:rPr>
            <w:rStyle w:val="a8"/>
            <w:rFonts w:ascii="仿宋" w:eastAsia="仿宋" w:hAnsi="仿宋" w:hint="eastAsia"/>
            <w:sz w:val="28"/>
            <w:szCs w:val="28"/>
          </w:rPr>
          <w:t>收</w:t>
        </w:r>
        <w:r>
          <w:rPr>
            <w:rStyle w:val="a8"/>
            <w:rFonts w:ascii="仿宋" w:eastAsia="仿宋" w:hAnsi="仿宋" w:cstheme="majorBidi" w:hint="eastAsia"/>
            <w:bCs/>
            <w:sz w:val="28"/>
            <w:szCs w:val="28"/>
          </w:rPr>
          <w:t>入决算情况说明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5" w:history="1">
        <w:r>
          <w:rPr>
            <w:rStyle w:val="a8"/>
            <w:rFonts w:ascii="仿宋" w:eastAsia="仿宋" w:hAnsi="仿宋" w:cstheme="majorBidi" w:hint="eastAsia"/>
            <w:bCs/>
            <w:sz w:val="28"/>
            <w:szCs w:val="28"/>
          </w:rPr>
          <w:t>三、</w:t>
        </w:r>
        <w:r>
          <w:rPr>
            <w:rStyle w:val="a8"/>
            <w:rFonts w:ascii="仿宋" w:eastAsia="仿宋" w:hAnsi="仿宋" w:hint="eastAsia"/>
            <w:sz w:val="28"/>
            <w:szCs w:val="28"/>
          </w:rPr>
          <w:t>支</w:t>
        </w:r>
        <w:r>
          <w:rPr>
            <w:rStyle w:val="a8"/>
            <w:rFonts w:ascii="仿宋" w:eastAsia="仿宋" w:hAnsi="仿宋" w:cstheme="majorBidi" w:hint="eastAsia"/>
            <w:bCs/>
            <w:sz w:val="28"/>
            <w:szCs w:val="28"/>
          </w:rPr>
          <w:t>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6" w:history="1">
        <w:r>
          <w:rPr>
            <w:rStyle w:val="a8"/>
            <w:rFonts w:ascii="仿宋" w:eastAsia="仿宋" w:hAnsi="仿宋" w:hint="eastAsia"/>
            <w:sz w:val="28"/>
            <w:szCs w:val="28"/>
          </w:rPr>
          <w:t>四、财</w:t>
        </w:r>
        <w:r>
          <w:rPr>
            <w:rStyle w:val="a8"/>
            <w:rFonts w:ascii="仿宋" w:eastAsia="仿宋" w:hAnsi="仿宋" w:cstheme="majorBidi" w:hint="eastAsia"/>
            <w:bCs/>
            <w:sz w:val="28"/>
            <w:szCs w:val="28"/>
          </w:rPr>
          <w:t>政拨款收入支出决算总体情况说明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7" w:history="1">
        <w:r>
          <w:rPr>
            <w:rStyle w:val="a8"/>
            <w:rFonts w:ascii="仿宋" w:eastAsia="仿宋" w:hAnsi="仿宋" w:hint="eastAsia"/>
            <w:sz w:val="28"/>
            <w:szCs w:val="28"/>
          </w:rPr>
          <w:t>五、一</w:t>
        </w:r>
        <w:r>
          <w:rPr>
            <w:rStyle w:val="a8"/>
            <w:rFonts w:ascii="仿宋" w:eastAsia="仿宋" w:hAnsi="仿宋" w:cstheme="majorBidi" w:hint="eastAsia"/>
            <w:bCs/>
            <w:sz w:val="28"/>
            <w:szCs w:val="28"/>
          </w:rPr>
          <w:t>般公共预算财政拨款支出决算情况说明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6</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8" w:history="1">
        <w:r>
          <w:rPr>
            <w:rStyle w:val="a8"/>
            <w:rFonts w:ascii="仿宋" w:eastAsia="仿宋" w:hAnsi="仿宋" w:hint="eastAsia"/>
            <w:sz w:val="28"/>
            <w:szCs w:val="28"/>
          </w:rPr>
          <w:t>六、一</w:t>
        </w:r>
        <w:r>
          <w:rPr>
            <w:rStyle w:val="a8"/>
            <w:rFonts w:ascii="仿宋" w:eastAsia="仿宋" w:hAnsi="仿宋" w:cstheme="majorBidi" w:hint="eastAsia"/>
            <w:bCs/>
            <w:sz w:val="28"/>
            <w:szCs w:val="28"/>
          </w:rPr>
          <w:t>般公共预算财政拨款基本支出决算情况说明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8</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09" w:history="1">
        <w:r>
          <w:rPr>
            <w:rStyle w:val="a8"/>
            <w:rFonts w:ascii="仿宋" w:eastAsia="仿宋" w:hAnsi="仿宋" w:hint="eastAsia"/>
            <w:sz w:val="28"/>
            <w:szCs w:val="28"/>
          </w:rPr>
          <w:t>七、</w:t>
        </w:r>
        <w:r>
          <w:rPr>
            <w:rStyle w:val="a8"/>
            <w:rFonts w:ascii="仿宋" w:eastAsia="仿宋" w:hAnsi="仿宋"/>
            <w:sz w:val="28"/>
            <w:szCs w:val="28"/>
          </w:rPr>
          <w:t>“</w:t>
        </w:r>
        <w:r>
          <w:rPr>
            <w:rStyle w:val="a8"/>
            <w:rFonts w:ascii="仿宋" w:eastAsia="仿宋" w:hAnsi="仿宋" w:cstheme="majorBidi" w:hint="eastAsia"/>
            <w:bCs/>
            <w:sz w:val="28"/>
            <w:szCs w:val="28"/>
          </w:rPr>
          <w:t>三公”经费财政拨款支出决算情况说明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9</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10" w:history="1">
        <w:r>
          <w:rPr>
            <w:rStyle w:val="a8"/>
            <w:rFonts w:ascii="仿宋" w:eastAsia="仿宋" w:hAnsi="仿宋" w:hint="eastAsia"/>
            <w:sz w:val="28"/>
            <w:szCs w:val="28"/>
          </w:rPr>
          <w:t>八、</w:t>
        </w:r>
        <w:r>
          <w:rPr>
            <w:rStyle w:val="a8"/>
            <w:rFonts w:ascii="仿宋" w:eastAsia="仿宋" w:hAnsi="仿宋" w:cstheme="majorBidi" w:hint="eastAsia"/>
            <w:bCs/>
            <w:sz w:val="28"/>
            <w:szCs w:val="28"/>
          </w:rPr>
          <w:t>政府性基金预算支出决算情况说明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10</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11" w:history="1">
        <w:r>
          <w:rPr>
            <w:rStyle w:val="a8"/>
            <w:rFonts w:ascii="仿宋" w:eastAsia="仿宋" w:hAnsi="仿宋" w:cstheme="majorBidi" w:hint="eastAsia"/>
            <w:bCs/>
            <w:sz w:val="28"/>
            <w:szCs w:val="28"/>
          </w:rPr>
          <w:t>九、</w:t>
        </w:r>
        <w:r>
          <w:rPr>
            <w:rStyle w:val="a8"/>
            <w:rFonts w:ascii="仿宋" w:eastAsia="仿宋" w:hAnsi="仿宋" w:hint="eastAsia"/>
            <w:sz w:val="28"/>
            <w:szCs w:val="28"/>
          </w:rPr>
          <w:t xml:space="preserve"> 国</w:t>
        </w:r>
        <w:r>
          <w:rPr>
            <w:rStyle w:val="a8"/>
            <w:rFonts w:ascii="仿宋" w:eastAsia="仿宋" w:hAnsi="仿宋" w:cstheme="majorBidi" w:hint="eastAsia"/>
            <w:bCs/>
            <w:sz w:val="28"/>
            <w:szCs w:val="28"/>
          </w:rPr>
          <w:t>有资本经营预算支出决算情况说明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10</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12" w:history="1">
        <w:r>
          <w:rPr>
            <w:rStyle w:val="a8"/>
            <w:rFonts w:ascii="仿宋" w:eastAsia="仿宋" w:hAnsi="仿宋" w:hint="eastAsia"/>
            <w:sz w:val="28"/>
            <w:szCs w:val="28"/>
          </w:rPr>
          <w:t>十</w:t>
        </w:r>
        <w:r>
          <w:rPr>
            <w:rStyle w:val="a8"/>
            <w:rFonts w:ascii="仿宋" w:eastAsia="仿宋" w:hAnsi="仿宋" w:cstheme="majorBidi" w:hint="eastAsia"/>
            <w:bCs/>
            <w:sz w:val="28"/>
            <w:szCs w:val="28"/>
          </w:rPr>
          <w:t>、预算绩效情况说明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13</w:t>
        </w:r>
        <w:r>
          <w:rPr>
            <w:rFonts w:ascii="仿宋" w:eastAsia="仿宋" w:hAnsi="仿宋"/>
            <w:sz w:val="28"/>
            <w:szCs w:val="28"/>
          </w:rPr>
          <w:fldChar w:fldCharType="end"/>
        </w:r>
      </w:hyperlink>
    </w:p>
    <w:p>
      <w:pPr>
        <w:pStyle w:val="20"/>
        <w:rPr>
          <w:rFonts w:ascii="仿宋" w:eastAsia="仿宋" w:hAnsi="仿宋" w:cstheme="minorBidi"/>
          <w:sz w:val="28"/>
          <w:szCs w:val="28"/>
        </w:rPr>
      </w:pPr>
      <w:hyperlink w:anchor="_Toc15396612" w:history="1">
        <w:r>
          <w:rPr>
            <w:rStyle w:val="a8"/>
            <w:rFonts w:ascii="仿宋" w:eastAsia="仿宋" w:hAnsi="仿宋" w:hint="eastAsia"/>
            <w:sz w:val="28"/>
            <w:szCs w:val="28"/>
          </w:rPr>
          <w:t>十</w:t>
        </w:r>
        <w:r>
          <w:rPr>
            <w:rStyle w:val="a8"/>
            <w:rFonts w:ascii="仿宋" w:eastAsia="仿宋" w:hAnsi="仿宋" w:cstheme="majorBidi" w:hint="eastAsia"/>
            <w:bCs/>
            <w:sz w:val="28"/>
            <w:szCs w:val="28"/>
          </w:rPr>
          <w:t>一、其他重要事项的情况说明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13</w:t>
        </w:r>
        <w:r>
          <w:rPr>
            <w:rFonts w:ascii="仿宋" w:eastAsia="仿宋" w:hAnsi="仿宋"/>
            <w:sz w:val="28"/>
            <w:szCs w:val="28"/>
          </w:rPr>
          <w:fldChar w:fldCharType="end"/>
        </w:r>
      </w:hyperlink>
    </w:p>
    <w:p>
      <w:pPr>
        <w:pStyle w:val="10"/>
        <w:rPr>
          <w:rFonts w:cstheme="minorBidi"/>
        </w:rPr>
      </w:pPr>
      <w:hyperlink w:anchor="_Toc15396613" w:history="1">
        <w:r>
          <w:rPr>
            <w:rStyle w:val="a8"/>
            <w:rFonts w:hint="eastAsia"/>
            <w:bCs/>
            <w:kern w:val="44"/>
          </w:rPr>
          <w:t>第三部分</w:t>
        </w:r>
        <w:r>
          <w:rPr>
            <w:rStyle w:val="a8"/>
            <w:rFonts w:hint="eastAsia"/>
          </w:rPr>
          <w:t xml:space="preserve"> 名</w:t>
        </w:r>
        <w:r>
          <w:rPr>
            <w:rStyle w:val="a8"/>
            <w:rFonts w:hint="eastAsia"/>
            <w:bCs/>
            <w:kern w:val="44"/>
          </w:rPr>
          <w:t>词解释</w:t>
        </w:r>
        <w:r>
          <w:tab/>
        </w:r>
        <w:r>
          <w:fldChar w:fldCharType="begin"/>
        </w:r>
        <w:r>
          <w:instrText xml:space="preserve"> PAGEREF _Toc15396613 \h </w:instrText>
        </w:r>
        <w:r>
          <w:fldChar w:fldCharType="separate"/>
        </w:r>
        <w:r>
          <w:rPr>
            <w:noProof/>
          </w:rPr>
          <w:t>14</w:t>
        </w:r>
        <w:r>
          <w:fldChar w:fldCharType="end"/>
        </w:r>
      </w:hyperlink>
    </w:p>
    <w:p>
      <w:pPr>
        <w:pStyle w:val="10"/>
        <w:rPr>
          <w:rFonts w:cstheme="minorBidi"/>
        </w:rPr>
      </w:pPr>
      <w:hyperlink w:anchor="_Toc15396614" w:history="1">
        <w:r>
          <w:rPr>
            <w:rStyle w:val="a8"/>
            <w:rFonts w:hint="eastAsia"/>
          </w:rPr>
          <w:t>第</w:t>
        </w:r>
        <w:r>
          <w:rPr>
            <w:rStyle w:val="a8"/>
            <w:rFonts w:hint="eastAsia"/>
            <w:bCs/>
            <w:kern w:val="44"/>
          </w:rPr>
          <w:t>四部分附件</w:t>
        </w:r>
        <w:r>
          <w:tab/>
        </w:r>
        <w:r>
          <w:fldChar w:fldCharType="begin"/>
        </w:r>
        <w:r>
          <w:instrText xml:space="preserve"> PAGEREF _Toc15396614 \h </w:instrText>
        </w:r>
        <w:r>
          <w:fldChar w:fldCharType="separate"/>
        </w:r>
        <w:r>
          <w:rPr>
            <w:noProof/>
          </w:rPr>
          <w:t>17</w:t>
        </w:r>
        <w:r>
          <w:fldChar w:fldCharType="end"/>
        </w:r>
      </w:hyperlink>
    </w:p>
    <w:p>
      <w:pPr>
        <w:pStyle w:val="20"/>
        <w:rPr>
          <w:rFonts w:ascii="仿宋" w:eastAsia="仿宋" w:hAnsi="仿宋" w:hint="eastAsia"/>
          <w:sz w:val="28"/>
          <w:szCs w:val="28"/>
        </w:rPr>
      </w:pPr>
      <w:hyperlink w:anchor="_Toc15396615" w:history="1">
        <w:r>
          <w:rPr>
            <w:rStyle w:val="a8"/>
            <w:rFonts w:ascii="仿宋" w:eastAsia="仿宋" w:hAnsi="仿宋" w:hint="eastAsia"/>
            <w:kern w:val="44"/>
            <w:sz w:val="28"/>
            <w:szCs w:val="28"/>
          </w:rPr>
          <w:t>附件</w:t>
        </w:r>
        <w:r>
          <w:rPr>
            <w:rStyle w:val="a8"/>
            <w:rFonts w:ascii="仿宋" w:eastAsia="仿宋" w:hAnsi="仿宋"/>
            <w:kern w:val="44"/>
            <w:sz w:val="28"/>
            <w:szCs w:val="28"/>
          </w:rPr>
          <w:t>1</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17</w:t>
        </w:r>
        <w:r>
          <w:rPr>
            <w:rFonts w:ascii="仿宋" w:eastAsia="仿宋" w:hAnsi="仿宋"/>
            <w:sz w:val="28"/>
            <w:szCs w:val="28"/>
          </w:rPr>
          <w:fldChar w:fldCharType="end"/>
        </w:r>
      </w:hyperlink>
    </w:p>
    <w:p/>
    <w:p>
      <w:pPr>
        <w:pStyle w:val="10"/>
        <w:rPr>
          <w:rFonts w:cstheme="minorBidi"/>
        </w:rPr>
      </w:pPr>
      <w:hyperlink w:anchor="_Toc15396618" w:history="1">
        <w:r>
          <w:rPr>
            <w:rStyle w:val="a8"/>
            <w:rFonts w:hint="eastAsia"/>
          </w:rPr>
          <w:t>第</w:t>
        </w:r>
        <w:r>
          <w:rPr>
            <w:rStyle w:val="a8"/>
            <w:rFonts w:hint="eastAsia"/>
            <w:bCs/>
            <w:kern w:val="44"/>
          </w:rPr>
          <w:t>五部分附表</w:t>
        </w:r>
        <w:r>
          <w:tab/>
        </w:r>
        <w:r>
          <w:fldChar w:fldCharType="begin"/>
        </w:r>
        <w:r>
          <w:instrText xml:space="preserve"> PAGEREF _Toc15396618 \h </w:instrText>
        </w:r>
        <w:r>
          <w:fldChar w:fldCharType="separate"/>
        </w:r>
        <w:r>
          <w:rPr>
            <w:noProof/>
          </w:rPr>
          <w:t>20</w:t>
        </w:r>
        <w:r>
          <w:fldChar w:fldCharType="end"/>
        </w:r>
      </w:hyperlink>
    </w:p>
    <w:p>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20</w:t>
        </w:r>
        <w:r>
          <w:rPr>
            <w:rFonts w:ascii="仿宋" w:eastAsia="仿宋" w:hAnsi="仿宋"/>
            <w:sz w:val="28"/>
            <w:szCs w:val="28"/>
          </w:rPr>
          <w:fldChar w:fldCharType="end"/>
        </w:r>
      </w:hyperlink>
    </w:p>
    <w:p>
      <w:pPr>
        <w:widowControl/>
        <w:jc w:val="left"/>
        <w:rPr>
          <w:rFonts w:ascii="仿宋" w:eastAsia="仿宋" w:hAnsi="仿宋"/>
          <w:color w:val="000000"/>
          <w:sz w:val="24"/>
        </w:rPr>
      </w:pPr>
      <w:r>
        <w:rPr>
          <w:rFonts w:ascii="仿宋" w:eastAsia="仿宋" w:hAnsi="仿宋"/>
          <w:color w:val="000000"/>
          <w:sz w:val="24"/>
        </w:rPr>
        <w:fldChar w:fldCharType="end"/>
      </w:r>
    </w:p>
    <w:p>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pPr>
        <w:spacing w:line="560" w:lineRule="exact"/>
        <w:ind w:firstLine="660"/>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Start w:id="18" w:name="_Toc15377199"/>
      <w:bookmarkStart w:id="19" w:name="_Toc15378446"/>
      <w:bookmarkEnd w:id="16"/>
      <w:bookmarkEnd w:id="17"/>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⑴贯彻执行《环境监测工作条例》、《环境监测规范》和环境保护相关法律法规，负责辖区内环境常规监测任务，编制环境监测各类报告、环境质量季度报告、年度报告。</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⑵开展全区环境质量监测工作。对环境各要素（空气、水、声等）进行监测，及时准确、科学系统地掌握和评价环境质量状况及发展趋势。</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⑶开展全区污染源监督性监测工作。对全区污染排放状况实施监测，及时准确地掌握污染源排放状况及变化趋势，为排污企业管理及排污费征收提供及时、准确的监测数据。</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⑷承担建设项目环境保护“三同时”竣工验收监测工作。</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⑸承担应急监测任务，负责污染事件的调查监测。</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⑹参与本辖区污染事故的调查，为仲裁环境污染纠纷提供监测数据。</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⑺根据企业委托组织开展有关的环境监测。</w:t>
      </w:r>
    </w:p>
    <w:p>
      <w:pPr>
        <w:spacing w:line="560" w:lineRule="exact"/>
        <w:ind w:firstLine="660"/>
        <w:rPr>
          <w:rFonts w:ascii="仿宋" w:eastAsia="仿宋" w:hAnsi="仿宋" w:cs="仿宋_GB2312"/>
          <w:sz w:val="30"/>
          <w:szCs w:val="30"/>
        </w:rPr>
      </w:pPr>
      <w:r>
        <w:rPr>
          <w:rFonts w:ascii="仿宋" w:eastAsia="仿宋" w:hAnsi="仿宋" w:cs="仿宋_GB2312" w:hint="eastAsia"/>
          <w:sz w:val="30"/>
          <w:szCs w:val="30"/>
        </w:rPr>
        <w:t>⑻完成局领导安排的其它工作</w:t>
      </w:r>
    </w:p>
    <w:p>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pPr>
        <w:spacing w:line="560" w:lineRule="exact"/>
        <w:ind w:firstLine="660"/>
        <w:rPr>
          <w:rFonts w:ascii="仿宋" w:eastAsia="仿宋" w:hAnsi="仿宋" w:cs="仿宋_GB2312"/>
          <w:bCs/>
          <w:color w:val="000000"/>
          <w:sz w:val="30"/>
          <w:szCs w:val="30"/>
        </w:rPr>
      </w:pPr>
      <w:r>
        <w:rPr>
          <w:rFonts w:ascii="仿宋" w:eastAsia="仿宋" w:hAnsi="仿宋" w:cs="仿宋_GB2312" w:hint="eastAsia"/>
          <w:sz w:val="30"/>
          <w:szCs w:val="30"/>
        </w:rPr>
        <w:t>加强监测站廉政风险防控。委托攀枝花市好管家财税咨询有限公司编制完善《攀枝花市仁和区环境监测站内部控制建设手册》，对全站经济业务内部控制制度进行了修编和完善，并顺利通过区财政局组织的行政事业单位内部控制检查。认真梳理监测</w:t>
      </w:r>
      <w:r>
        <w:rPr>
          <w:rFonts w:ascii="仿宋" w:eastAsia="仿宋" w:hAnsi="仿宋" w:cs="仿宋_GB2312" w:hint="eastAsia"/>
          <w:sz w:val="30"/>
          <w:szCs w:val="30"/>
        </w:rPr>
        <w:lastRenderedPageBreak/>
        <w:t>站廉政风险点，梳理监测数据审核、数据真实性、设备及耗材采购等风险点</w:t>
      </w:r>
      <w:r>
        <w:rPr>
          <w:rFonts w:ascii="仿宋" w:eastAsia="仿宋" w:hAnsi="仿宋" w:cs="仿宋_GB2312"/>
          <w:sz w:val="30"/>
          <w:szCs w:val="30"/>
        </w:rPr>
        <w:t>3</w:t>
      </w:r>
      <w:r>
        <w:rPr>
          <w:rFonts w:ascii="仿宋" w:eastAsia="仿宋" w:hAnsi="仿宋" w:cs="仿宋_GB2312" w:hint="eastAsia"/>
          <w:sz w:val="30"/>
          <w:szCs w:val="30"/>
        </w:rPr>
        <w:t>个，制定风险防范措施</w:t>
      </w:r>
      <w:r>
        <w:rPr>
          <w:rFonts w:ascii="仿宋" w:eastAsia="仿宋" w:hAnsi="仿宋" w:cs="仿宋_GB2312"/>
          <w:sz w:val="30"/>
          <w:szCs w:val="30"/>
        </w:rPr>
        <w:t>3</w:t>
      </w:r>
      <w:r>
        <w:rPr>
          <w:rFonts w:ascii="仿宋" w:eastAsia="仿宋" w:hAnsi="仿宋" w:cs="仿宋_GB2312" w:hint="eastAsia"/>
          <w:sz w:val="30"/>
          <w:szCs w:val="30"/>
        </w:rPr>
        <w:t>条。</w:t>
      </w:r>
    </w:p>
    <w:p>
      <w:pPr>
        <w:spacing w:line="560" w:lineRule="exact"/>
        <w:ind w:firstLine="640"/>
        <w:rPr>
          <w:rFonts w:ascii="仿宋" w:eastAsia="仿宋" w:hAnsi="仿宋" w:cs="仿宋_GB2312"/>
          <w:sz w:val="30"/>
          <w:szCs w:val="30"/>
        </w:rPr>
      </w:pPr>
      <w:r>
        <w:rPr>
          <w:rFonts w:ascii="仿宋" w:eastAsia="仿宋" w:hAnsi="仿宋" w:cs="仿宋_GB2312" w:hint="eastAsia"/>
          <w:sz w:val="30"/>
          <w:szCs w:val="30"/>
        </w:rPr>
        <w:t>认真贯彻执行环境监测相关技术规范和质量管理有关规定。按照新的《质量手册》、《程序文件》围绕各项环境监测任务有序开展质控工作，制定了内部审核管理评审计划、仪器设备量值溯源计划、质量监督计划。按照认监委及省、市质监局的要求进行检验检测机构自查，根据《检验检测机构资质认定评审准则》要求进行质量体系内部审核，并顺利通过市质量监督技术监督局组织的检测检验机构日常监督检查。</w:t>
      </w:r>
    </w:p>
    <w:p>
      <w:pPr>
        <w:spacing w:line="560" w:lineRule="exact"/>
        <w:ind w:firstLine="640"/>
        <w:rPr>
          <w:rFonts w:ascii="仿宋" w:eastAsia="仿宋" w:hAnsi="仿宋" w:cs="仿宋_GB2312"/>
          <w:sz w:val="30"/>
          <w:szCs w:val="30"/>
        </w:rPr>
      </w:pPr>
      <w:r>
        <w:rPr>
          <w:rFonts w:ascii="仿宋" w:eastAsia="仿宋" w:hAnsi="仿宋" w:cs="仿宋_GB2312" w:hint="eastAsia"/>
          <w:sz w:val="30"/>
          <w:szCs w:val="30"/>
        </w:rPr>
        <w:t>认真开展环境监测。组织开展集中式饮用水源地水质监测，完成胜利水库水质每季度水质监测、水质富营养化调查监测</w:t>
      </w:r>
      <w:r>
        <w:rPr>
          <w:rFonts w:ascii="仿宋" w:eastAsia="仿宋" w:hAnsi="仿宋" w:cs="仿宋_GB2312"/>
          <w:sz w:val="30"/>
          <w:szCs w:val="30"/>
        </w:rPr>
        <w:t>2</w:t>
      </w:r>
      <w:r>
        <w:rPr>
          <w:rFonts w:ascii="仿宋" w:eastAsia="仿宋" w:hAnsi="仿宋" w:cs="仿宋_GB2312" w:hint="eastAsia"/>
          <w:sz w:val="30"/>
          <w:szCs w:val="30"/>
        </w:rPr>
        <w:t>次及应急监测</w:t>
      </w:r>
      <w:r>
        <w:rPr>
          <w:rFonts w:ascii="仿宋" w:eastAsia="仿宋" w:hAnsi="仿宋" w:cs="仿宋_GB2312"/>
          <w:sz w:val="30"/>
          <w:szCs w:val="30"/>
        </w:rPr>
        <w:t>1</w:t>
      </w:r>
      <w:r>
        <w:rPr>
          <w:rFonts w:ascii="仿宋" w:eastAsia="仿宋" w:hAnsi="仿宋" w:cs="仿宋_GB2312" w:hint="eastAsia"/>
          <w:sz w:val="30"/>
          <w:szCs w:val="30"/>
        </w:rPr>
        <w:t>次；完成平地镇洛伍水库等</w:t>
      </w:r>
      <w:r>
        <w:rPr>
          <w:rFonts w:ascii="仿宋" w:eastAsia="仿宋" w:hAnsi="仿宋" w:cs="仿宋_GB2312"/>
          <w:sz w:val="30"/>
          <w:szCs w:val="30"/>
        </w:rPr>
        <w:t>7</w:t>
      </w:r>
      <w:r>
        <w:rPr>
          <w:rFonts w:ascii="仿宋" w:eastAsia="仿宋" w:hAnsi="仿宋" w:cs="仿宋_GB2312" w:hint="eastAsia"/>
          <w:sz w:val="30"/>
          <w:szCs w:val="30"/>
        </w:rPr>
        <w:t>个集中式饮用水水源地进行了半年一次的水样采集和分析工作。组织开展地表水环境质量监测，共完成大河流域</w:t>
      </w:r>
      <w:r>
        <w:rPr>
          <w:rFonts w:ascii="仿宋" w:eastAsia="仿宋" w:hAnsi="仿宋" w:cs="仿宋_GB2312"/>
          <w:sz w:val="30"/>
          <w:szCs w:val="30"/>
        </w:rPr>
        <w:t>14</w:t>
      </w:r>
      <w:r>
        <w:rPr>
          <w:rFonts w:ascii="仿宋" w:eastAsia="仿宋" w:hAnsi="仿宋" w:cs="仿宋_GB2312" w:hint="eastAsia"/>
          <w:sz w:val="30"/>
          <w:szCs w:val="30"/>
        </w:rPr>
        <w:t>个点位的两次水质监测。组织开展污染源监督性监测，完成攀大高速、原平地有色金属选矿厂投诉相关废水监测、桠华工贸的废气监督性监测、忠恒工贸的废水应急监测。组织开展环境噪声监测，完成仁和区辖区</w:t>
      </w:r>
      <w:r>
        <w:rPr>
          <w:rFonts w:ascii="仿宋" w:eastAsia="仿宋" w:hAnsi="仿宋" w:cs="仿宋_GB2312"/>
          <w:sz w:val="30"/>
          <w:szCs w:val="30"/>
        </w:rPr>
        <w:t>41</w:t>
      </w:r>
      <w:r>
        <w:rPr>
          <w:rFonts w:ascii="仿宋" w:eastAsia="仿宋" w:hAnsi="仿宋" w:cs="仿宋_GB2312" w:hint="eastAsia"/>
          <w:sz w:val="30"/>
          <w:szCs w:val="30"/>
        </w:rPr>
        <w:t>个点的区域环境噪声以及</w:t>
      </w:r>
      <w:r>
        <w:rPr>
          <w:rFonts w:ascii="仿宋" w:eastAsia="仿宋" w:hAnsi="仿宋" w:cs="仿宋_GB2312"/>
          <w:sz w:val="30"/>
          <w:szCs w:val="30"/>
        </w:rPr>
        <w:t>6</w:t>
      </w:r>
      <w:r>
        <w:rPr>
          <w:rFonts w:ascii="仿宋" w:eastAsia="仿宋" w:hAnsi="仿宋" w:cs="仿宋_GB2312" w:hint="eastAsia"/>
          <w:sz w:val="30"/>
          <w:szCs w:val="30"/>
        </w:rPr>
        <w:t>条交通干线的噪声监测，多次开展风电等群众噪声投诉及中高考禁噪专项监测。完成中节能在线监测系统比对监测工作。</w:t>
      </w:r>
      <w:bookmarkStart w:id="20" w:name="_Toc15396601"/>
      <w:bookmarkStart w:id="21" w:name="_Toc15377200"/>
    </w:p>
    <w:p>
      <w:pPr>
        <w:spacing w:line="560" w:lineRule="exact"/>
        <w:ind w:firstLine="640"/>
        <w:rPr>
          <w:rFonts w:ascii="黑体" w:eastAsia="黑体" w:hAnsi="黑体" w:cstheme="majorBidi"/>
          <w:bCs/>
          <w:color w:val="000000"/>
          <w:sz w:val="32"/>
          <w:szCs w:val="32"/>
        </w:rPr>
      </w:pPr>
      <w:r>
        <w:rPr>
          <w:rFonts w:ascii="黑体" w:eastAsia="黑体" w:hAnsi="黑体" w:cstheme="majorBidi" w:hint="eastAsia"/>
          <w:bCs/>
          <w:color w:val="000000"/>
          <w:sz w:val="32"/>
          <w:szCs w:val="32"/>
        </w:rPr>
        <w:t>二、机构设置</w:t>
      </w:r>
      <w:bookmarkEnd w:id="20"/>
      <w:bookmarkEnd w:id="21"/>
    </w:p>
    <w:p>
      <w:pPr>
        <w:ind w:firstLineChars="250" w:firstLine="800"/>
        <w:rPr>
          <w:rFonts w:ascii="仿宋" w:eastAsia="仿宋" w:hAnsi="仿宋"/>
          <w:sz w:val="32"/>
          <w:szCs w:val="32"/>
        </w:rPr>
      </w:pPr>
      <w:r>
        <w:rPr>
          <w:rFonts w:ascii="仿宋" w:eastAsia="仿宋" w:hAnsi="仿宋" w:hint="eastAsia"/>
          <w:sz w:val="32"/>
          <w:szCs w:val="32"/>
        </w:rPr>
        <w:t>仁和区环境监测站下属二级单位0个。</w:t>
      </w:r>
    </w:p>
    <w:p>
      <w:pPr>
        <w:pStyle w:val="1"/>
        <w:ind w:right="440"/>
        <w:jc w:val="right"/>
        <w:rPr>
          <w:rFonts w:ascii="黑体" w:eastAsia="黑体" w:hAnsi="黑体"/>
          <w:b w:val="0"/>
          <w:bCs w:val="0"/>
        </w:rPr>
      </w:pPr>
      <w:bookmarkStart w:id="22" w:name="_Toc15377204"/>
      <w:bookmarkStart w:id="23" w:name="_Toc15396602"/>
      <w:r>
        <w:rPr>
          <w:rFonts w:ascii="黑体" w:eastAsia="黑体" w:hAnsi="黑体" w:hint="eastAsia"/>
          <w:b w:val="0"/>
          <w:color w:val="000000"/>
        </w:rPr>
        <w:lastRenderedPageBreak/>
        <w:t>第二部分</w:t>
      </w:r>
      <w:r>
        <w:rPr>
          <w:rStyle w:val="1Char"/>
          <w:rFonts w:ascii="黑体" w:eastAsia="黑体" w:hAnsi="黑体" w:hint="eastAsia"/>
        </w:rPr>
        <w:t>2018年度部门决算情况说明</w:t>
      </w:r>
      <w:bookmarkEnd w:id="22"/>
      <w:bookmarkEnd w:id="23"/>
    </w:p>
    <w:p>
      <w:pPr>
        <w:pStyle w:val="a9"/>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2018年度收、支总计277.51万元。与2017年相比，收、支总计各增加26.03万元，增长10.35</w:t>
      </w:r>
      <w:r>
        <w:rPr>
          <w:rFonts w:ascii="仿宋" w:eastAsia="仿宋" w:hAnsi="仿宋"/>
          <w:color w:val="000000"/>
          <w:sz w:val="32"/>
          <w:szCs w:val="32"/>
        </w:rPr>
        <w:t>%</w:t>
      </w:r>
      <w:r>
        <w:rPr>
          <w:rFonts w:ascii="仿宋" w:eastAsia="仿宋" w:hAnsi="仿宋" w:hint="eastAsia"/>
          <w:color w:val="000000"/>
          <w:sz w:val="32"/>
          <w:szCs w:val="32"/>
        </w:rPr>
        <w:t>。主要变动原因是补发职工2016、2017年度环境监测岗位津贴。</w:t>
      </w:r>
    </w:p>
    <w:p>
      <w:pPr>
        <w:pStyle w:val="a9"/>
        <w:numPr>
          <w:ilvl w:val="0"/>
          <w:numId w:val="1"/>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8年本年收入合计261.54万元，其中：一般公共预算财政拨款收入261.54万元，占100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；政府性基金预算财政拨款收入0万元；国有资本经营预算财政拨款收入0万元；事业收入0万元；经营收入0万元；附属单位上缴收入0万元；其他收入0万元。</w:t>
      </w:r>
    </w:p>
    <w:p>
      <w:pPr>
        <w:pStyle w:val="a9"/>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8年本年支出合计258万元，其中：基本支出198.78万元，占77.05</w:t>
      </w:r>
      <w:r>
        <w:rPr>
          <w:rFonts w:ascii="仿宋" w:eastAsia="仿宋" w:hAnsi="仿宋"/>
          <w:color w:val="000000"/>
          <w:sz w:val="32"/>
          <w:szCs w:val="32"/>
        </w:rPr>
        <w:t>%</w:t>
      </w:r>
      <w:r>
        <w:rPr>
          <w:rFonts w:ascii="仿宋" w:eastAsia="仿宋" w:hAnsi="仿宋" w:hint="eastAsia"/>
          <w:color w:val="000000"/>
          <w:sz w:val="32"/>
          <w:szCs w:val="32"/>
        </w:rPr>
        <w:t>；项目支出59.22万元，占22.95</w:t>
      </w:r>
      <w:r>
        <w:rPr>
          <w:rFonts w:ascii="仿宋" w:eastAsia="仿宋" w:hAnsi="仿宋"/>
          <w:color w:val="000000"/>
          <w:sz w:val="32"/>
          <w:szCs w:val="32"/>
        </w:rPr>
        <w:t>%</w:t>
      </w:r>
      <w:r>
        <w:rPr>
          <w:rFonts w:ascii="仿宋" w:eastAsia="仿宋" w:hAnsi="仿宋" w:hint="eastAsia"/>
          <w:color w:val="000000"/>
          <w:sz w:val="32"/>
          <w:szCs w:val="32"/>
        </w:rPr>
        <w:t>；上缴上级支出0万元；经营支出0万元；对附属单位补助支出0万元。</w:t>
      </w:r>
    </w:p>
    <w:p>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8年财政拨款收、支总计277.51万元。与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7年相比，财政拨款收、支总计各增加26.03万元，增长10.35</w:t>
      </w:r>
      <w:r>
        <w:rPr>
          <w:rFonts w:ascii="仿宋" w:eastAsia="仿宋" w:hAnsi="仿宋"/>
          <w:color w:val="000000"/>
          <w:sz w:val="32"/>
          <w:szCs w:val="32"/>
        </w:rPr>
        <w:t>%</w:t>
      </w:r>
      <w:r>
        <w:rPr>
          <w:rFonts w:ascii="仿宋" w:eastAsia="仿宋" w:hAnsi="仿宋" w:hint="eastAsia"/>
          <w:color w:val="000000"/>
          <w:sz w:val="32"/>
          <w:szCs w:val="32"/>
        </w:rPr>
        <w:t>。主要变动原因是补发2016、2017年环境监测岗位津贴。</w:t>
      </w:r>
    </w:p>
    <w:p>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8年一般公共预算财政拨款支出258万元，占本年支出合计的100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7年相比，一般公共预算财政拨款增加22.48万元，增长9.54</w:t>
      </w:r>
      <w:r>
        <w:rPr>
          <w:rFonts w:ascii="仿宋" w:eastAsia="仿宋" w:hAnsi="仿宋"/>
          <w:color w:val="000000"/>
          <w:sz w:val="32"/>
          <w:szCs w:val="32"/>
        </w:rPr>
        <w:t>%</w:t>
      </w:r>
      <w:r>
        <w:rPr>
          <w:rFonts w:ascii="仿宋" w:eastAsia="仿宋" w:hAnsi="仿宋" w:hint="eastAsia"/>
          <w:color w:val="000000"/>
          <w:sz w:val="32"/>
          <w:szCs w:val="32"/>
        </w:rPr>
        <w:t>。主要变动原因是补发2016、2017年度环境监测岗位津贴。</w:t>
      </w:r>
    </w:p>
    <w:p>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政拨款支出258万元，主要用于以下方面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支出15.42万元，占5.98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医疗卫生支出（类）</w:t>
      </w:r>
      <w:r>
        <w:rPr>
          <w:rFonts w:ascii="仿宋" w:eastAsia="仿宋" w:hAnsi="仿宋" w:hint="eastAsia"/>
          <w:color w:val="000000" w:themeColor="text1"/>
          <w:sz w:val="32"/>
          <w:szCs w:val="32"/>
        </w:rPr>
        <w:t>支出7.59万元，占2.94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节能环保支出（类）</w:t>
      </w:r>
      <w:r>
        <w:rPr>
          <w:rFonts w:ascii="仿宋" w:eastAsia="仿宋" w:hAnsi="仿宋" w:hint="eastAsia"/>
          <w:color w:val="000000" w:themeColor="text1"/>
          <w:sz w:val="32"/>
          <w:szCs w:val="32"/>
        </w:rPr>
        <w:t>支出215.45万元，占83.51%；</w:t>
      </w:r>
      <w:r>
        <w:rPr>
          <w:rFonts w:ascii="仿宋" w:eastAsia="仿宋" w:hAnsi="仿宋" w:hint="eastAsia"/>
          <w:b/>
          <w:color w:val="000000" w:themeColor="text1"/>
          <w:sz w:val="32"/>
          <w:szCs w:val="32"/>
        </w:rPr>
        <w:t>住房保障支出（类）</w:t>
      </w:r>
      <w:r>
        <w:rPr>
          <w:rFonts w:ascii="仿宋" w:eastAsia="仿宋" w:hAnsi="仿宋" w:hint="eastAsia"/>
          <w:color w:val="000000" w:themeColor="text1"/>
          <w:sz w:val="32"/>
          <w:szCs w:val="32"/>
        </w:rPr>
        <w:t>19.54万元，占7.57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color w:val="000000" w:themeColor="text1"/>
          <w:sz w:val="32"/>
          <w:szCs w:val="32"/>
        </w:rPr>
        <w:t xml:space="preserve"> </w:t>
      </w:r>
    </w:p>
    <w:p>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2018年一般公共预算支出决算数为258</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社会保障和就业（类）行政事业单位离退休（款）机关事业单位基本养老保险缴费支出（项）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支出决算为14.57万元，完成预算100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Fonts w:ascii="仿宋" w:eastAsia="仿宋" w:hAnsi="仿宋"/>
          <w:bCs/>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社会保障和就业（类）行政事业单位离退休（款）机关事业单位职业年金缴费支出（项）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支出决算为0.85万元，完成预算100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医疗卫生与计划生育（类）行政事业单位医疗（款）事业单位医疗（项）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支出决算为6.47万元，完成预算100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医疗卫生与计划生育（类）行政事业单位医疗（款）公务员医疗补助（项）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支出决算为1.12万元，完成预算100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lastRenderedPageBreak/>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节能环保支出（类）环境保护管理事务（款）一般行政管理事务（项）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支出决算为0.08万元，完成预算100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节能环保支出（类）环境保护管理事务（款）其他环境保护管理事务支出（项）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支出决算为156.23万元，完成预算100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节能环保支出（类）污染防治（款）其他污染防治支出（项）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支出决算为51.81万元，完成预算82.66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，决算数小于预算数的主要原因是项目支出未完成，按规定结转下年继续使用。</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8</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节能环保支出（类）污染减排（款）环境监测与信息（项）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支出决算为7.33万元，完成预算45.90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，决算数小于预算数的主要原因是项目支出未完成，按规定结转下年继续使用。</w:t>
      </w:r>
    </w:p>
    <w:p>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9</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支出决算为19.54万元，完成预算100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8年一般公共预算财政拨款基本支出258万元，其中：</w:t>
      </w:r>
    </w:p>
    <w:p>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186.91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lastRenderedPageBreak/>
        <w:t xml:space="preserve">　　公用经费11.87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8年“三公”经费财政拨款支出决算为1.8万元，完成预算100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；公务用车购置及运行维护费支出决算1.78万元，占98.89</w:t>
      </w:r>
      <w:r>
        <w:rPr>
          <w:rFonts w:ascii="仿宋" w:eastAsia="仿宋" w:hAnsi="仿宋"/>
          <w:color w:val="000000"/>
          <w:sz w:val="32"/>
          <w:szCs w:val="32"/>
        </w:rPr>
        <w:t>%</w:t>
      </w:r>
      <w:r>
        <w:rPr>
          <w:rFonts w:ascii="仿宋" w:eastAsia="仿宋" w:hAnsi="仿宋" w:hint="eastAsia"/>
          <w:color w:val="000000"/>
          <w:sz w:val="32"/>
          <w:szCs w:val="32"/>
        </w:rPr>
        <w:t>；公务接待费支出决算0.02万元，占1.11</w:t>
      </w:r>
      <w:r>
        <w:rPr>
          <w:rFonts w:ascii="仿宋" w:eastAsia="仿宋" w:hAnsi="仿宋"/>
          <w:color w:val="000000"/>
          <w:sz w:val="32"/>
          <w:szCs w:val="32"/>
        </w:rPr>
        <w:t>%</w:t>
      </w:r>
      <w:r>
        <w:rPr>
          <w:rFonts w:ascii="仿宋" w:eastAsia="仿宋" w:hAnsi="仿宋" w:hint="eastAsia"/>
          <w:color w:val="000000"/>
          <w:sz w:val="32"/>
          <w:szCs w:val="32"/>
        </w:rPr>
        <w:t>。具体情况如下：</w:t>
      </w:r>
    </w:p>
    <w:p>
      <w:pPr>
        <w:spacing w:line="600" w:lineRule="exact"/>
        <w:ind w:firstLine="640"/>
        <w:rPr>
          <w:rFonts w:ascii="仿宋" w:eastAsia="仿宋" w:hAnsi="仿宋"/>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w:t>
      </w:r>
      <w:r>
        <w:rPr>
          <w:rFonts w:ascii="仿宋" w:eastAsia="仿宋" w:hAnsi="仿宋" w:hint="eastAsia"/>
          <w:color w:val="000000"/>
          <w:sz w:val="32"/>
          <w:szCs w:val="32"/>
        </w:rPr>
        <w:t>全年无安排因公出国（境）团组0次，出国（境）0人。因公出国（境）支出决算比</w:t>
      </w:r>
      <w:r>
        <w:rPr>
          <w:rFonts w:ascii="仿宋" w:eastAsia="仿宋" w:hAnsi="仿宋"/>
          <w:color w:val="000000"/>
          <w:sz w:val="32"/>
          <w:szCs w:val="32"/>
        </w:rPr>
        <w:t>201</w:t>
      </w:r>
      <w:r>
        <w:rPr>
          <w:rFonts w:ascii="仿宋" w:eastAsia="仿宋" w:hAnsi="仿宋" w:hint="eastAsia"/>
          <w:color w:val="000000"/>
          <w:sz w:val="32"/>
          <w:szCs w:val="32"/>
        </w:rPr>
        <w:t>7年持平。</w:t>
      </w:r>
    </w:p>
    <w:p>
      <w:pPr>
        <w:spacing w:line="600" w:lineRule="exact"/>
        <w:ind w:firstLine="640"/>
        <w:rPr>
          <w:rFonts w:ascii="仿宋" w:eastAsia="仿宋" w:hAnsi="仿宋"/>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1.78万元,</w:t>
      </w:r>
      <w:r>
        <w:rPr>
          <w:rStyle w:val="a7"/>
          <w:rFonts w:ascii="仿宋" w:eastAsia="仿宋" w:hAnsi="仿宋" w:hint="eastAsia"/>
          <w:b w:val="0"/>
          <w:bCs/>
          <w:color w:val="000000"/>
          <w:sz w:val="32"/>
          <w:szCs w:val="32"/>
        </w:rPr>
        <w:t>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201</w:t>
      </w:r>
      <w:r>
        <w:rPr>
          <w:rFonts w:ascii="仿宋" w:eastAsia="仿宋" w:hAnsi="仿宋" w:hint="eastAsia"/>
          <w:color w:val="000000"/>
          <w:sz w:val="32"/>
          <w:szCs w:val="32"/>
        </w:rPr>
        <w:t>7年减少0.58万元，下降24.58</w:t>
      </w:r>
      <w:r>
        <w:rPr>
          <w:rFonts w:ascii="仿宋" w:eastAsia="仿宋" w:hAnsi="仿宋"/>
          <w:color w:val="000000"/>
          <w:sz w:val="32"/>
          <w:szCs w:val="32"/>
        </w:rPr>
        <w:t>%</w:t>
      </w:r>
      <w:r>
        <w:rPr>
          <w:rFonts w:ascii="仿宋" w:eastAsia="仿宋" w:hAnsi="仿宋" w:hint="eastAsia"/>
          <w:color w:val="000000"/>
          <w:sz w:val="32"/>
          <w:szCs w:val="32"/>
        </w:rPr>
        <w:t>。主要原因是厉行节约，加强车辆管理。</w:t>
      </w:r>
    </w:p>
    <w:p>
      <w:pPr>
        <w:spacing w:line="60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lastRenderedPageBreak/>
        <w:t>其中</w:t>
      </w:r>
      <w:r>
        <w:rPr>
          <w:rFonts w:ascii="仿宋_GB2312" w:eastAsia="仿宋_GB2312" w:hint="eastAsia"/>
          <w:color w:val="000000"/>
          <w:sz w:val="32"/>
          <w:szCs w:val="32"/>
        </w:rPr>
        <w:t>：</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r>
        <w:rPr>
          <w:rFonts w:ascii="仿宋" w:eastAsia="仿宋" w:hAnsi="仿宋" w:hint="eastAsia"/>
          <w:color w:val="000000"/>
          <w:sz w:val="32"/>
          <w:szCs w:val="32"/>
        </w:rPr>
        <w:t>2018年全年无购置公务用车。截至</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color w:val="000000"/>
          <w:sz w:val="32"/>
          <w:szCs w:val="32"/>
        </w:rPr>
        <w:t>12</w:t>
      </w:r>
      <w:r>
        <w:rPr>
          <w:rFonts w:ascii="仿宋" w:eastAsia="仿宋" w:hAnsi="仿宋" w:hint="eastAsia"/>
          <w:color w:val="000000"/>
          <w:sz w:val="32"/>
          <w:szCs w:val="32"/>
        </w:rPr>
        <w:t>月底，单位共有特种专业技术用车1辆，其中：越野车1辆。</w:t>
      </w:r>
    </w:p>
    <w:p>
      <w:pPr>
        <w:spacing w:line="600" w:lineRule="exact"/>
        <w:ind w:firstLine="640"/>
        <w:rPr>
          <w:rFonts w:ascii="仿宋" w:eastAsia="仿宋" w:hAnsi="仿宋"/>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1.78万元。</w:t>
      </w:r>
      <w:r>
        <w:rPr>
          <w:rFonts w:ascii="仿宋" w:eastAsia="仿宋" w:hAnsi="仿宋" w:hint="eastAsia"/>
          <w:color w:val="000000"/>
          <w:sz w:val="32"/>
          <w:szCs w:val="32"/>
        </w:rPr>
        <w:t>主要用于监测业务等所需的公务用车燃料费、维修费、过路过桥费、保险费等支出。</w:t>
      </w:r>
    </w:p>
    <w:p>
      <w:pPr>
        <w:spacing w:line="600" w:lineRule="exact"/>
        <w:ind w:firstLine="640"/>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0.02万元，</w:t>
      </w:r>
      <w:r>
        <w:rPr>
          <w:rStyle w:val="a7"/>
          <w:rFonts w:ascii="仿宋" w:eastAsia="仿宋" w:hAnsi="仿宋" w:hint="eastAsia"/>
          <w:b w:val="0"/>
          <w:bCs/>
          <w:color w:val="000000"/>
          <w:sz w:val="32"/>
          <w:szCs w:val="32"/>
        </w:rPr>
        <w:t>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201</w:t>
      </w:r>
      <w:r>
        <w:rPr>
          <w:rFonts w:ascii="仿宋" w:eastAsia="仿宋" w:hAnsi="仿宋" w:hint="eastAsia"/>
          <w:color w:val="000000"/>
          <w:sz w:val="32"/>
          <w:szCs w:val="32"/>
        </w:rPr>
        <w:t>7年减少0.41万元，下降95.12</w:t>
      </w:r>
      <w:r>
        <w:rPr>
          <w:rFonts w:ascii="仿宋" w:eastAsia="仿宋" w:hAnsi="仿宋"/>
          <w:color w:val="000000"/>
          <w:sz w:val="32"/>
          <w:szCs w:val="32"/>
        </w:rPr>
        <w:t>%</w:t>
      </w:r>
      <w:r>
        <w:rPr>
          <w:rFonts w:ascii="仿宋" w:eastAsia="仿宋" w:hAnsi="仿宋" w:hint="eastAsia"/>
          <w:color w:val="000000"/>
          <w:sz w:val="32"/>
          <w:szCs w:val="32"/>
        </w:rPr>
        <w:t>。主要原因是2018年无上岗考核接待。</w:t>
      </w:r>
    </w:p>
    <w:p>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主要用于执行公务、开展业务活动开支的用餐费。国内公务接待1批次4人次共计支出0.02万元。</w:t>
      </w:r>
      <w:bookmarkStart w:id="46" w:name="_Toc15396610"/>
      <w:bookmarkStart w:id="47" w:name="_Toc15377218"/>
    </w:p>
    <w:p>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8年政府性基金预算拨款支出0万元。</w:t>
      </w:r>
    </w:p>
    <w:p>
      <w:pPr>
        <w:numPr>
          <w:ilvl w:val="0"/>
          <w:numId w:val="2"/>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8年国有资本经营预算拨款支出0万元。</w:t>
      </w:r>
    </w:p>
    <w:p>
      <w:pPr>
        <w:spacing w:line="580" w:lineRule="exact"/>
        <w:ind w:firstLineChars="250" w:firstLine="800"/>
        <w:rPr>
          <w:rStyle w:val="2Char"/>
          <w:rFonts w:ascii="黑体" w:eastAsia="黑体" w:hAnsi="黑体"/>
          <w:b w:val="0"/>
        </w:rPr>
      </w:pPr>
      <w:r>
        <w:rPr>
          <w:rStyle w:val="2Char"/>
          <w:rFonts w:ascii="黑体" w:eastAsia="黑体" w:hAnsi="黑体" w:hint="eastAsia"/>
          <w:b w:val="0"/>
        </w:rPr>
        <w:t>十、预算绩效情况说明</w:t>
      </w:r>
    </w:p>
    <w:p>
      <w:pPr>
        <w:numPr>
          <w:ilvl w:val="0"/>
          <w:numId w:val="3"/>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部门（单位）在年初预算编制阶段，组织对2018年环境监测运行项目开展了预算事前绩效评估，对1个项目编制了绩效目标，预算执行过程中，选取1个项目开展绩效监控，年终执行完毕后，对1个项目开展了绩效目标完成情况梳理填报。</w:t>
      </w:r>
    </w:p>
    <w:p>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本部门按要求对2018年部门整体支出开展绩效自评，</w:t>
      </w:r>
      <w:r>
        <w:rPr>
          <w:rFonts w:ascii="仿宋" w:eastAsia="仿宋" w:hAnsi="仿宋" w:cs="仿宋_GB2312" w:hint="eastAsia"/>
          <w:sz w:val="32"/>
          <w:szCs w:val="32"/>
        </w:rPr>
        <w:lastRenderedPageBreak/>
        <w:t>从评价情况来看</w:t>
      </w:r>
      <w:r>
        <w:rPr>
          <w:rFonts w:ascii="仿宋" w:eastAsia="仿宋" w:hAnsi="仿宋" w:hint="eastAsia"/>
          <w:sz w:val="32"/>
          <w:szCs w:val="32"/>
        </w:rPr>
        <w:t>我站</w:t>
      </w:r>
      <w:r>
        <w:rPr>
          <w:rFonts w:ascii="仿宋" w:eastAsia="仿宋" w:hAnsi="仿宋"/>
          <w:sz w:val="32"/>
          <w:szCs w:val="32"/>
        </w:rPr>
        <w:t>2018</w:t>
      </w:r>
      <w:r>
        <w:rPr>
          <w:rFonts w:ascii="仿宋" w:eastAsia="仿宋" w:hAnsi="仿宋" w:hint="eastAsia"/>
          <w:sz w:val="32"/>
          <w:szCs w:val="32"/>
        </w:rPr>
        <w:t>年部门整体支出情况良好，预算、执行、收支、资产管理及信息公开都严格按相关制度要求进行，全年收支平衡，有效保证了机构运转，圆满完成了上级下达的目标任务，取得了较大的社会效益</w:t>
      </w:r>
      <w:r>
        <w:rPr>
          <w:rFonts w:ascii="仿宋" w:eastAsia="仿宋" w:hAnsi="仿宋" w:cs="仿宋_GB2312" w:hint="eastAsia"/>
          <w:sz w:val="32"/>
          <w:szCs w:val="32"/>
        </w:rPr>
        <w:t>。本部门还自行组织了1个项目绩效评价，从评价情况来看为辖区内的各环境质量情况提供保障，对打击环境违法行为，督促企业开展清洁生产，有效控制环境污染事故，为环境管理提供监测保障。</w:t>
      </w:r>
    </w:p>
    <w:p>
      <w:pPr>
        <w:numPr>
          <w:ilvl w:val="0"/>
          <w:numId w:val="4"/>
        </w:numPr>
        <w:tabs>
          <w:tab w:val="clear" w:pos="312"/>
        </w:tabs>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本部门在2018年度部门决算中反映2018年环境监测运行经费1个项目绩效目标实际完成情况。2018年环境监测运行经费项目绩效目标完成情况综述。项目全年预算数45.68万元，执行数为45.68万元，完成预算的100%。通过项目实施，保障了环境监测站人员监测能力，加强辖区内环境监测业务能力，打击环境违法行为，督促企业开展清洁生产，有效控制环境污染事故，为环境管理提供监测保障。</w:t>
      </w:r>
    </w:p>
    <w:tbl>
      <w:tblPr>
        <w:tblpPr w:leftFromText="180" w:rightFromText="180" w:vertAnchor="text" w:horzAnchor="page" w:tblpXSpec="center" w:tblpY="423"/>
        <w:tblOverlap w:val="never"/>
        <w:tblW w:w="8095" w:type="dxa"/>
        <w:tblLayout w:type="fixed"/>
        <w:tblCellMar>
          <w:left w:w="0" w:type="dxa"/>
          <w:right w:w="0" w:type="dxa"/>
        </w:tblCellMar>
        <w:tblLook w:val="04A0"/>
      </w:tblPr>
      <w:tblGrid>
        <w:gridCol w:w="390"/>
        <w:gridCol w:w="1185"/>
        <w:gridCol w:w="567"/>
        <w:gridCol w:w="640"/>
        <w:gridCol w:w="1061"/>
        <w:gridCol w:w="2268"/>
        <w:gridCol w:w="425"/>
        <w:gridCol w:w="1559"/>
      </w:tblGrid>
      <w:tr>
        <w:trPr>
          <w:trHeight w:val="1034"/>
        </w:trPr>
        <w:tc>
          <w:tcPr>
            <w:tcW w:w="8095" w:type="dxa"/>
            <w:gridSpan w:val="8"/>
            <w:tcMar>
              <w:top w:w="15" w:type="dxa"/>
              <w:left w:w="15" w:type="dxa"/>
              <w:bottom w:w="0" w:type="dxa"/>
              <w:right w:w="15" w:type="dxa"/>
            </w:tcMar>
            <w:vAlign w:val="center"/>
          </w:tcPr>
          <w:p>
            <w:pPr>
              <w:pStyle w:val="a9"/>
              <w:widowControl/>
              <w:ind w:leftChars="863" w:left="2892" w:hangingChars="300" w:hanging="1080"/>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trPr>
          <w:trHeight w:val="276"/>
        </w:trPr>
        <w:tc>
          <w:tcPr>
            <w:tcW w:w="214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项目名称</w:t>
            </w:r>
          </w:p>
        </w:tc>
        <w:tc>
          <w:tcPr>
            <w:tcW w:w="5953"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2018年环境监测运行经费</w:t>
            </w:r>
          </w:p>
        </w:tc>
      </w:tr>
      <w:tr>
        <w:trPr>
          <w:trHeight w:val="276"/>
        </w:trPr>
        <w:tc>
          <w:tcPr>
            <w:tcW w:w="214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预算单位</w:t>
            </w:r>
          </w:p>
        </w:tc>
        <w:tc>
          <w:tcPr>
            <w:tcW w:w="5953"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仁和区环境监测站</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预算执行情况(万元)</w:t>
            </w: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预算数:</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45.68</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执行数:</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45.68</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其中-财政拨款:</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45.68</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其中-财政拨款:</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45.68</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7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其它资金:</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0</w:t>
            </w:r>
          </w:p>
        </w:tc>
        <w:tc>
          <w:tcPr>
            <w:tcW w:w="26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其它资金:</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仿宋" w:eastAsia="仿宋" w:hAnsi="仿宋" w:cs="宋体"/>
                <w:color w:val="000000"/>
                <w:sz w:val="24"/>
              </w:rPr>
            </w:pPr>
            <w:r>
              <w:rPr>
                <w:rFonts w:ascii="仿宋" w:eastAsia="仿宋" w:hAnsi="仿宋"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年</w:t>
            </w:r>
            <w:r>
              <w:rPr>
                <w:rFonts w:ascii="仿宋" w:eastAsia="仿宋" w:hAnsi="仿宋" w:cs="宋体" w:hint="eastAsia"/>
                <w:color w:val="000000"/>
                <w:kern w:val="0"/>
                <w:sz w:val="24"/>
              </w:rPr>
              <w:lastRenderedPageBreak/>
              <w:t>度目标完成情况</w:t>
            </w:r>
          </w:p>
        </w:tc>
        <w:tc>
          <w:tcPr>
            <w:tcW w:w="345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预期目标</w:t>
            </w:r>
          </w:p>
        </w:tc>
        <w:tc>
          <w:tcPr>
            <w:tcW w:w="42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345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按时按要求完成环境空气、水环境、声环境、生态环境等环境质量监测和污染源监督行监测、比对监测、专项监测、应急监测等任务，开展环境污染纠纷监测及其它委托监测</w:t>
            </w:r>
          </w:p>
        </w:tc>
        <w:tc>
          <w:tcPr>
            <w:tcW w:w="425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按时按要求完成环境空气、水环境、声环境、生态环境等环境质量监测和污染源监督行监测、比对监测、专项监测、应急监测等任务，开展环境污染纠纷监测及其它委托监测</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lastRenderedPageBreak/>
              <w:t>绩效指标完成情况</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一级指标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二级指标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三级指标</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预期指标值(包含数字及文字描述)</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项目完成指标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数量指标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仁和区乡镇饮用用水源地监测个数≥4个，主要河流水质调查监测≥3个，企业污染源监督性监测≥1个，医院废水监测≥4个，贫困村集中式供水点水质监测≥2个，其他监测≥2个</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仁和区乡镇饮用用水源地监测个数7个，主要河流水质调查监测12个，企业污染源监督性监测3个，医院废水监测4个，贫困村集中式供水点水质监测7个，其他监测&gt;10个。</w:t>
            </w:r>
          </w:p>
        </w:tc>
      </w:tr>
      <w:tr>
        <w:trPr>
          <w:trHeight w:val="1072"/>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项目完成指标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质量指标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重点任务完成率≥95%，监测报告质量合格率≥98%</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重点任务完成率100%，监测报告质量合格率100%。</w:t>
            </w:r>
          </w:p>
        </w:tc>
      </w:tr>
      <w:tr>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项目完成指标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时效指标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在规定时间完成计划内的监测任务。</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在规定时间完成计划内的监测任务。</w:t>
            </w:r>
          </w:p>
        </w:tc>
      </w:tr>
      <w:tr>
        <w:trPr>
          <w:trHeight w:val="831"/>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效益指标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仿宋" w:eastAsia="仿宋" w:hAnsi="仿宋" w:cs="宋体"/>
                <w:sz w:val="22"/>
                <w:szCs w:val="22"/>
              </w:rPr>
            </w:pPr>
            <w:r>
              <w:rPr>
                <w:rFonts w:ascii="仿宋" w:eastAsia="仿宋" w:hAnsi="仿宋" w:hint="eastAsia"/>
                <w:sz w:val="22"/>
                <w:szCs w:val="22"/>
              </w:rPr>
              <w:t>经济效益指标</w:t>
            </w:r>
          </w:p>
          <w:p>
            <w:pPr>
              <w:widowControl/>
              <w:jc w:val="center"/>
              <w:textAlignment w:val="center"/>
              <w:rPr>
                <w:rFonts w:ascii="仿宋" w:eastAsia="仿宋" w:hAnsi="仿宋" w:cs="宋体"/>
                <w:color w:val="000000"/>
                <w:sz w:val="24"/>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保障仁和辖区群众有个安全的生活环境。</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textAlignment w:val="center"/>
              <w:rPr>
                <w:rFonts w:ascii="仿宋" w:eastAsia="仿宋" w:hAnsi="仿宋" w:cs="宋体"/>
                <w:sz w:val="24"/>
              </w:rPr>
            </w:pPr>
            <w:r>
              <w:rPr>
                <w:rFonts w:ascii="仿宋" w:eastAsia="仿宋" w:hAnsi="仿宋" w:cs="宋体" w:hint="eastAsia"/>
                <w:sz w:val="24"/>
              </w:rPr>
              <w:t>辖区未发生重特大环境安全事故。</w:t>
            </w:r>
          </w:p>
        </w:tc>
      </w:tr>
      <w:tr>
        <w:trPr>
          <w:trHeight w:val="1014"/>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效益指标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jc w:val="center"/>
              <w:rPr>
                <w:rFonts w:ascii="仿宋" w:eastAsia="仿宋" w:hAnsi="仿宋" w:cs="宋体"/>
                <w:sz w:val="22"/>
                <w:szCs w:val="22"/>
              </w:rPr>
            </w:pPr>
            <w:r>
              <w:rPr>
                <w:rFonts w:ascii="仿宋" w:eastAsia="仿宋" w:hAnsi="仿宋" w:hint="eastAsia"/>
                <w:sz w:val="22"/>
                <w:szCs w:val="22"/>
              </w:rPr>
              <w:t>社会效益指标</w:t>
            </w:r>
          </w:p>
          <w:p>
            <w:pPr>
              <w:widowControl/>
              <w:jc w:val="center"/>
              <w:textAlignment w:val="center"/>
              <w:rPr>
                <w:rFonts w:ascii="仿宋" w:eastAsia="仿宋" w:hAnsi="仿宋" w:cs="宋体"/>
                <w:color w:val="000000"/>
                <w:sz w:val="24"/>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为仁和辖区内环境污染情况提供有利数据保障。</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出具相关监测报告35份，为环境管理提供有利数据保障。</w:t>
            </w:r>
          </w:p>
        </w:tc>
      </w:tr>
      <w:tr>
        <w:trPr>
          <w:trHeight w:val="1100"/>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效益指标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生态效益指标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为仁和辖区内环境质量情况提供有利数据支撑</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出具相关监测报告35份，为环境管理提供有利数据保障。</w:t>
            </w:r>
          </w:p>
        </w:tc>
      </w:tr>
      <w:tr>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效益指标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可持续影响指标</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为生态系统健康指数提供有利数据支持。</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为生态系统健康指数提供有利数据支持。</w:t>
            </w:r>
          </w:p>
        </w:tc>
      </w:tr>
      <w:tr>
        <w:trPr>
          <w:trHeight w:val="797"/>
        </w:trPr>
        <w:tc>
          <w:tcPr>
            <w:tcW w:w="390" w:type="dxa"/>
            <w:vMerge/>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hAnsi="仿宋" w:cs="宋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满意度指标</w:t>
            </w:r>
          </w:p>
        </w:tc>
        <w:tc>
          <w:tcPr>
            <w:tcW w:w="12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服务对象满意度95%以上</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center"/>
              <w:textAlignment w:val="center"/>
              <w:rPr>
                <w:rFonts w:ascii="仿宋" w:eastAsia="仿宋" w:hAnsi="仿宋" w:cs="宋体"/>
                <w:sz w:val="24"/>
              </w:rPr>
            </w:pPr>
            <w:r>
              <w:rPr>
                <w:rFonts w:ascii="仿宋" w:eastAsia="仿宋" w:hAnsi="仿宋" w:cs="宋体" w:hint="eastAsia"/>
                <w:sz w:val="24"/>
              </w:rPr>
              <w:t>服务对象满意度95%以上。</w:t>
            </w:r>
          </w:p>
        </w:tc>
      </w:tr>
    </w:tbl>
    <w:p>
      <w:pPr>
        <w:spacing w:line="580" w:lineRule="exact"/>
        <w:rPr>
          <w:rFonts w:ascii="仿宋_GB2312" w:eastAsia="仿宋_GB2312" w:hAnsi="仿宋_GB2312" w:cs="仿宋_GB2312"/>
          <w:sz w:val="32"/>
          <w:szCs w:val="32"/>
        </w:rPr>
      </w:pPr>
    </w:p>
    <w:p>
      <w:pPr>
        <w:numPr>
          <w:ilvl w:val="0"/>
          <w:numId w:val="3"/>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本部门按要求对2018年部门整体支出绩效评价情况开展自评，《仁和区环境监测站2018年部门整体支出绩效评价报告》见附件。</w:t>
      </w:r>
    </w:p>
    <w:p>
      <w:pPr>
        <w:spacing w:line="600" w:lineRule="exact"/>
        <w:ind w:firstLineChars="250" w:firstLine="800"/>
        <w:outlineLvl w:val="1"/>
        <w:rPr>
          <w:rStyle w:val="2Char"/>
          <w:rFonts w:ascii="黑体" w:eastAsia="黑体" w:hAnsi="黑体"/>
          <w:b w:val="0"/>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0"/>
      <w:bookmarkEnd w:id="51"/>
    </w:p>
    <w:p>
      <w:pPr>
        <w:spacing w:line="56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（一）机关运行经费支出情况</w:t>
      </w:r>
    </w:p>
    <w:p>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2018年度，仁和区环境监测站机关运行经费支出0万元，与2017年决算数持平。</w:t>
      </w:r>
    </w:p>
    <w:p>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3"/>
      <w:r>
        <w:rPr>
          <w:rFonts w:ascii="仿宋" w:eastAsia="仿宋" w:hAnsi="仿宋" w:hint="eastAsia"/>
          <w:b/>
          <w:color w:val="000000"/>
          <w:sz w:val="32"/>
          <w:szCs w:val="32"/>
        </w:rPr>
        <w:t>（二）政府采购支出情况</w:t>
      </w:r>
      <w:bookmarkEnd w:id="52"/>
    </w:p>
    <w:p>
      <w:pPr>
        <w:spacing w:line="600" w:lineRule="exact"/>
        <w:ind w:firstLineChars="200" w:firstLine="640"/>
        <w:rPr>
          <w:rFonts w:ascii="仿宋" w:eastAsia="仿宋" w:hAnsi="仿宋"/>
          <w:b/>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8年仁和区环境监测站政府采购支出总额0万元。</w:t>
      </w:r>
    </w:p>
    <w:p>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4"/>
      <w:r>
        <w:rPr>
          <w:rFonts w:ascii="仿宋" w:eastAsia="仿宋" w:hAnsi="仿宋" w:hint="eastAsia"/>
          <w:b/>
          <w:color w:val="000000"/>
          <w:sz w:val="32"/>
          <w:szCs w:val="32"/>
        </w:rPr>
        <w:t>（三）国有资产占有使用情况</w:t>
      </w:r>
      <w:bookmarkEnd w:id="53"/>
    </w:p>
    <w:p>
      <w:pPr>
        <w:autoSpaceDE w:val="0"/>
        <w:autoSpaceDN w:val="0"/>
        <w:adjustRightInd w:val="0"/>
        <w:spacing w:line="6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sz w:val="32"/>
          <w:szCs w:val="32"/>
        </w:rPr>
        <w:t>截至</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日，仁和区环境监测站共有车辆1辆，其中：特种专业技术用车1辆</w:t>
      </w:r>
      <w:r>
        <w:rPr>
          <w:rFonts w:ascii="仿宋" w:eastAsia="仿宋" w:hAnsi="仿宋" w:hint="eastAsia"/>
          <w:color w:val="000000" w:themeColor="text1"/>
          <w:sz w:val="32"/>
          <w:szCs w:val="32"/>
        </w:rPr>
        <w:t>主要是用于环境监测业务用车。</w:t>
      </w:r>
    </w:p>
    <w:p>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themeColor="text1"/>
          <w:sz w:val="32"/>
          <w:szCs w:val="32"/>
        </w:rPr>
        <w:t>单价</w:t>
      </w:r>
      <w:r>
        <w:rPr>
          <w:rFonts w:ascii="仿宋" w:eastAsia="仿宋" w:hAnsi="仿宋"/>
          <w:color w:val="000000" w:themeColor="text1"/>
          <w:sz w:val="32"/>
          <w:szCs w:val="32"/>
        </w:rPr>
        <w:t>50</w:t>
      </w:r>
      <w:r>
        <w:rPr>
          <w:rFonts w:ascii="仿宋" w:eastAsia="仿宋" w:hAnsi="仿宋" w:hint="eastAsia"/>
          <w:color w:val="000000" w:themeColor="text1"/>
          <w:sz w:val="32"/>
          <w:szCs w:val="32"/>
        </w:rPr>
        <w:t>万元以上通用设备0台（套），单价</w:t>
      </w:r>
      <w:r>
        <w:rPr>
          <w:rFonts w:ascii="仿宋" w:eastAsia="仿宋" w:hAnsi="仿宋"/>
          <w:color w:val="000000" w:themeColor="text1"/>
          <w:sz w:val="32"/>
          <w:szCs w:val="32"/>
        </w:rPr>
        <w:t>100</w:t>
      </w:r>
      <w:r>
        <w:rPr>
          <w:rFonts w:ascii="仿宋" w:eastAsia="仿宋" w:hAnsi="仿宋" w:hint="eastAsia"/>
          <w:color w:val="000000"/>
          <w:sz w:val="32"/>
          <w:szCs w:val="32"/>
        </w:rPr>
        <w:t>万元以上专用设备0台（套）。</w:t>
      </w:r>
    </w:p>
    <w:p>
      <w:pPr>
        <w:spacing w:line="600" w:lineRule="atLeast"/>
        <w:ind w:firstLineChars="200" w:firstLine="643"/>
        <w:rPr>
          <w:rFonts w:ascii="仿宋" w:eastAsia="仿宋" w:hAnsi="仿宋"/>
          <w:b/>
          <w:color w:val="000000"/>
          <w:sz w:val="32"/>
          <w:szCs w:val="32"/>
        </w:rPr>
      </w:pPr>
    </w:p>
    <w:p>
      <w:pPr>
        <w:widowControl/>
        <w:jc w:val="left"/>
        <w:rPr>
          <w:rFonts w:ascii="仿宋_GB2312" w:eastAsia="仿宋_GB2312" w:hint="eastAsia"/>
          <w:b/>
          <w:color w:val="000000"/>
          <w:sz w:val="32"/>
          <w:szCs w:val="32"/>
        </w:rPr>
      </w:pPr>
    </w:p>
    <w:p>
      <w:pPr>
        <w:widowControl/>
        <w:jc w:val="left"/>
        <w:rPr>
          <w:rFonts w:ascii="仿宋_GB2312" w:eastAsia="仿宋_GB2312" w:hint="eastAsia"/>
          <w:b/>
          <w:color w:val="000000"/>
          <w:sz w:val="32"/>
          <w:szCs w:val="32"/>
        </w:rPr>
      </w:pPr>
    </w:p>
    <w:p>
      <w:pPr>
        <w:widowControl/>
        <w:jc w:val="left"/>
        <w:rPr>
          <w:rFonts w:ascii="仿宋_GB2312" w:eastAsia="仿宋_GB2312" w:hint="eastAsia"/>
          <w:b/>
          <w:color w:val="000000"/>
          <w:sz w:val="32"/>
          <w:szCs w:val="32"/>
        </w:rPr>
      </w:pPr>
    </w:p>
    <w:p>
      <w:pPr>
        <w:widowControl/>
        <w:jc w:val="left"/>
        <w:rPr>
          <w:rFonts w:ascii="仿宋_GB2312" w:eastAsia="仿宋_GB2312" w:hint="eastAsia"/>
          <w:b/>
          <w:color w:val="000000"/>
          <w:sz w:val="32"/>
          <w:szCs w:val="32"/>
        </w:rPr>
      </w:pPr>
    </w:p>
    <w:p>
      <w:pPr>
        <w:widowControl/>
        <w:jc w:val="left"/>
        <w:rPr>
          <w:rFonts w:ascii="仿宋_GB2312" w:eastAsia="仿宋_GB2312" w:hint="eastAsia"/>
          <w:b/>
          <w:color w:val="000000"/>
          <w:sz w:val="32"/>
          <w:szCs w:val="32"/>
        </w:rPr>
      </w:pPr>
    </w:p>
    <w:p>
      <w:pPr>
        <w:widowControl/>
        <w:jc w:val="left"/>
        <w:rPr>
          <w:rFonts w:ascii="仿宋_GB2312" w:eastAsia="仿宋_GB2312"/>
          <w:b/>
          <w:color w:val="000000"/>
          <w:sz w:val="32"/>
          <w:szCs w:val="32"/>
        </w:rPr>
      </w:pPr>
    </w:p>
    <w:p>
      <w:pPr>
        <w:numPr>
          <w:ilvl w:val="0"/>
          <w:numId w:val="5"/>
        </w:numPr>
        <w:spacing w:line="600" w:lineRule="exact"/>
        <w:ind w:firstLineChars="150" w:firstLine="663"/>
        <w:jc w:val="center"/>
        <w:outlineLvl w:val="0"/>
        <w:rPr>
          <w:rStyle w:val="1Char"/>
          <w:rFonts w:ascii="黑体" w:eastAsia="黑体" w:hAnsi="黑体"/>
          <w:b w:val="0"/>
        </w:rPr>
      </w:pPr>
      <w:bookmarkStart w:id="54" w:name="_Toc15377225"/>
      <w:bookmarkStart w:id="55"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4"/>
      <w:bookmarkEnd w:id="55"/>
    </w:p>
    <w:p>
      <w:pPr>
        <w:spacing w:line="600" w:lineRule="exact"/>
        <w:jc w:val="left"/>
        <w:rPr>
          <w:rFonts w:ascii="宋体"/>
          <w:b/>
          <w:color w:val="000000"/>
          <w:sz w:val="44"/>
          <w:szCs w:val="44"/>
        </w:rPr>
      </w:pPr>
    </w:p>
    <w:p>
      <w:pPr>
        <w:pStyle w:val="Default"/>
        <w:spacing w:line="560" w:lineRule="exact"/>
        <w:ind w:firstLineChars="200" w:firstLine="640"/>
        <w:rPr>
          <w:rFonts w:hAnsi="仿宋"/>
          <w:sz w:val="32"/>
          <w:szCs w:val="32"/>
        </w:rPr>
      </w:pPr>
      <w:r>
        <w:rPr>
          <w:rFonts w:hAnsi="仿宋"/>
          <w:sz w:val="32"/>
          <w:szCs w:val="32"/>
        </w:rPr>
        <w:t>1.</w:t>
      </w:r>
      <w:r>
        <w:rPr>
          <w:rFonts w:hAnsi="仿宋" w:hint="eastAsia"/>
          <w:sz w:val="32"/>
          <w:szCs w:val="32"/>
        </w:rPr>
        <w:t>财政拨款收入：指单位从同级财政部门取得的财政预算资金。</w:t>
      </w:r>
    </w:p>
    <w:p>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事业收入：指事业单位开展专业业务活动及辅助活动取得的收入。</w:t>
      </w:r>
    </w:p>
    <w:p>
      <w:pPr>
        <w:pStyle w:val="Default"/>
        <w:spacing w:line="560" w:lineRule="exact"/>
        <w:ind w:firstLineChars="200" w:firstLine="640"/>
        <w:rPr>
          <w:rFonts w:hAnsi="仿宋"/>
          <w:sz w:val="32"/>
          <w:szCs w:val="32"/>
        </w:rPr>
      </w:pPr>
      <w:r>
        <w:rPr>
          <w:rFonts w:hAnsi="仿宋" w:hint="eastAsia"/>
          <w:sz w:val="32"/>
          <w:szCs w:val="32"/>
        </w:rPr>
        <w:t>3</w:t>
      </w:r>
      <w:r>
        <w:rPr>
          <w:rFonts w:hAnsi="仿宋"/>
          <w:sz w:val="32"/>
          <w:szCs w:val="32"/>
        </w:rPr>
        <w:t>.</w:t>
      </w:r>
      <w:r>
        <w:rPr>
          <w:rFonts w:hAnsi="仿宋" w:hint="eastAsia"/>
          <w:sz w:val="32"/>
          <w:szCs w:val="32"/>
        </w:rPr>
        <w:t>年初结转和结余：指以前年度尚未完成、结转到本年按有关规定继续使用的资金。</w:t>
      </w:r>
    </w:p>
    <w:p>
      <w:pPr>
        <w:pStyle w:val="Default"/>
        <w:spacing w:line="560" w:lineRule="exact"/>
        <w:ind w:firstLineChars="200" w:firstLine="640"/>
        <w:rPr>
          <w:rFonts w:hAnsi="仿宋"/>
          <w:sz w:val="32"/>
          <w:szCs w:val="32"/>
        </w:rPr>
      </w:pPr>
      <w:r>
        <w:rPr>
          <w:rFonts w:hAnsi="仿宋" w:hint="eastAsia"/>
          <w:sz w:val="32"/>
          <w:szCs w:val="32"/>
        </w:rPr>
        <w:t>4</w:t>
      </w:r>
      <w:r>
        <w:rPr>
          <w:rFonts w:hAnsi="仿宋"/>
          <w:sz w:val="32"/>
          <w:szCs w:val="32"/>
        </w:rPr>
        <w:t>.</w:t>
      </w:r>
      <w:r>
        <w:rPr>
          <w:rFonts w:hAnsi="仿宋" w:hint="eastAsia"/>
          <w:sz w:val="32"/>
          <w:szCs w:val="32"/>
        </w:rPr>
        <w:t>结余分配：指事业单位按照事业单位会计制度的规定从非财政补助结余中分配的事业基金和职工福利基金等。</w:t>
      </w:r>
    </w:p>
    <w:p>
      <w:pPr>
        <w:pStyle w:val="Default"/>
        <w:spacing w:line="560" w:lineRule="exact"/>
        <w:ind w:firstLineChars="200" w:firstLine="640"/>
        <w:rPr>
          <w:rFonts w:hAnsi="仿宋"/>
          <w:sz w:val="32"/>
          <w:szCs w:val="32"/>
        </w:rPr>
      </w:pPr>
      <w:r>
        <w:rPr>
          <w:rFonts w:hAnsi="仿宋" w:hint="eastAsia"/>
          <w:sz w:val="32"/>
          <w:szCs w:val="32"/>
        </w:rPr>
        <w:t>5、年末结转和结余：指单位按有关规定结转到下年或以后年度继续使用的资金。</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6.社会保障和就业（类）行政事业单位离退（款）机关事业单位基本养老保险缴费支出（项）：指机关事业单位实施养老保险制度由单位缴纳的基本养老保险费支出。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 社会保障和就业（类）行政事业单位离退（款）机关事业单位基本养老保险缴费支出（项）：指机关事业单位实施养老保险制度由单位实际缴纳的职业年金支出。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8.医疗卫生与计划生育（类）行政事业单位医疗（款）事业单位医疗（项）：指财政部门集中安排的事业单位基本医疗保险缴费经费，未参加医疗保险的事业单位的公费医疗经费，按国家规定享受离休人员待遇的医疗经费。</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9.医疗卫生与计划生育（类）行政事业单位医疗（款）公务员医疗补助（项）：指财政部门集中安排的公务员医疗补助经费。</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10.节能环保（类）环境保护管理事务（款）一般行政管理事务（项）：指行政单位未单独设置项级科目的其他项目支出。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11.节能环保（类）环境保护管理事务（款）其他环境保护管理事务支出（项）：指除行政运行、一般行政管理事务、环境保护宣传、环境保护法规规划及标准、环境国际合作及履约、环境保护行政许可以外其他用于环境保护管理事务方面的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12.节能环保（类）污染防治（款）其他污染防治支出（项）：指除大气、水体、噪声、固体废弃物与化学品、放射源和放射性废物监管、辐射以外其他用于污染防治方面的支出。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13.节能环保（类）污染减排（款）环境监测与信息（项）：指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pPr>
        <w:spacing w:line="55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14.住房保障支出（类）住房改革支出（款）住房公积金（项）：指行政事业单位按人力资源和社会保障部、财政部规定的基本工资和津贴补贴以及规定比例为职工缴纳的住房公积金。</w:t>
      </w:r>
    </w:p>
    <w:p>
      <w:pPr>
        <w:ind w:firstLineChars="200" w:firstLine="640"/>
        <w:rPr>
          <w:rFonts w:ascii="仿宋" w:eastAsia="仿宋" w:hAnsi="仿宋"/>
          <w:color w:val="000000"/>
          <w:sz w:val="32"/>
          <w:szCs w:val="32"/>
        </w:rPr>
      </w:pPr>
      <w:r>
        <w:rPr>
          <w:rFonts w:ascii="仿宋" w:eastAsia="仿宋" w:hAnsi="仿宋" w:hint="eastAsia"/>
          <w:color w:val="000000"/>
          <w:sz w:val="32"/>
          <w:szCs w:val="32"/>
        </w:rPr>
        <w:t>15</w:t>
      </w:r>
      <w:r>
        <w:rPr>
          <w:rFonts w:ascii="仿宋" w:eastAsia="仿宋" w:hAnsi="仿宋"/>
          <w:color w:val="000000"/>
          <w:sz w:val="32"/>
          <w:szCs w:val="32"/>
        </w:rPr>
        <w:t>.</w:t>
      </w:r>
      <w:r>
        <w:rPr>
          <w:rFonts w:ascii="仿宋" w:eastAsia="仿宋" w:hAnsi="仿宋" w:hint="eastAsia"/>
          <w:color w:val="000000"/>
          <w:sz w:val="32"/>
          <w:szCs w:val="32"/>
        </w:rPr>
        <w:t>基本支出：指为保障机构正常运转、完成日常工作任务而发生的人员支出和公用支出。</w:t>
      </w:r>
    </w:p>
    <w:p>
      <w:pPr>
        <w:ind w:firstLineChars="200" w:firstLine="640"/>
        <w:rPr>
          <w:rFonts w:ascii="仿宋" w:eastAsia="仿宋" w:hAnsi="仿宋"/>
          <w:color w:val="000000"/>
          <w:sz w:val="32"/>
          <w:szCs w:val="32"/>
        </w:rPr>
      </w:pPr>
      <w:r>
        <w:rPr>
          <w:rFonts w:ascii="仿宋" w:eastAsia="仿宋" w:hAnsi="仿宋" w:hint="eastAsia"/>
          <w:color w:val="000000"/>
          <w:sz w:val="32"/>
          <w:szCs w:val="32"/>
        </w:rPr>
        <w:t>16</w:t>
      </w:r>
      <w:r>
        <w:rPr>
          <w:rFonts w:ascii="仿宋" w:eastAsia="仿宋" w:hAnsi="仿宋"/>
          <w:color w:val="000000"/>
          <w:sz w:val="32"/>
          <w:szCs w:val="32"/>
        </w:rPr>
        <w:t>.</w:t>
      </w:r>
      <w:r>
        <w:rPr>
          <w:rFonts w:ascii="仿宋" w:eastAsia="仿宋" w:hAnsi="仿宋" w:hint="eastAsia"/>
          <w:color w:val="000000"/>
          <w:sz w:val="32"/>
          <w:szCs w:val="32"/>
        </w:rPr>
        <w:t>项目支出：指在基本支出之外为完成特定行政任务</w:t>
      </w:r>
      <w:r>
        <w:rPr>
          <w:rFonts w:ascii="仿宋" w:eastAsia="仿宋" w:hAnsi="仿宋" w:hint="eastAsia"/>
          <w:color w:val="000000"/>
          <w:sz w:val="32"/>
          <w:szCs w:val="32"/>
        </w:rPr>
        <w:lastRenderedPageBreak/>
        <w:t>和事业发展目标所发生的支出。</w:t>
      </w:r>
    </w:p>
    <w:p>
      <w:pPr>
        <w:pStyle w:val="Default"/>
        <w:spacing w:line="560" w:lineRule="exact"/>
        <w:ind w:firstLineChars="200" w:firstLine="640"/>
        <w:rPr>
          <w:rFonts w:hAnsi="仿宋"/>
          <w:sz w:val="32"/>
          <w:szCs w:val="32"/>
        </w:rPr>
      </w:pPr>
      <w:r>
        <w:rPr>
          <w:rFonts w:hAnsi="仿宋" w:hint="eastAsia"/>
          <w:sz w:val="32"/>
          <w:szCs w:val="32"/>
        </w:rPr>
        <w:t>17</w:t>
      </w:r>
      <w:r>
        <w:rPr>
          <w:rFonts w:hAnsi="仿宋"/>
          <w:sz w:val="32"/>
          <w:szCs w:val="32"/>
        </w:rPr>
        <w:t>.</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仿宋" w:eastAsia="仿宋" w:hAnsi="仿宋"/>
          <w:color w:val="000000"/>
          <w:sz w:val="44"/>
          <w:szCs w:val="44"/>
        </w:rPr>
      </w:pPr>
      <w:bookmarkStart w:id="56" w:name="_Toc15396614"/>
      <w:bookmarkStart w:id="57" w:name="_Toc15377226"/>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hint="eastAsia"/>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hint="eastAsia"/>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Fonts w:ascii="黑体" w:eastAsia="黑体" w:hAnsi="黑体"/>
          <w:color w:val="000000"/>
          <w:sz w:val="44"/>
          <w:szCs w:val="44"/>
        </w:rPr>
      </w:pPr>
    </w:p>
    <w:p>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6"/>
    </w:p>
    <w:p>
      <w:pPr>
        <w:spacing w:line="600" w:lineRule="exact"/>
        <w:jc w:val="center"/>
        <w:outlineLvl w:val="0"/>
        <w:rPr>
          <w:rStyle w:val="1Char"/>
        </w:rPr>
      </w:pPr>
    </w:p>
    <w:p>
      <w:pPr>
        <w:pStyle w:val="2"/>
        <w:rPr>
          <w:rStyle w:val="1Char"/>
          <w:rFonts w:ascii="仿宋" w:eastAsia="仿宋" w:hAnsi="仿宋"/>
          <w:sz w:val="32"/>
          <w:szCs w:val="32"/>
        </w:rPr>
      </w:pPr>
      <w:bookmarkStart w:id="58" w:name="_Toc15396615"/>
      <w:r>
        <w:rPr>
          <w:rStyle w:val="1Char"/>
          <w:rFonts w:ascii="仿宋" w:eastAsia="仿宋" w:hAnsi="仿宋" w:hint="eastAsia"/>
          <w:sz w:val="32"/>
          <w:szCs w:val="32"/>
        </w:rPr>
        <w:t>附件1</w:t>
      </w:r>
      <w:bookmarkEnd w:id="58"/>
    </w:p>
    <w:p>
      <w:pPr>
        <w:spacing w:line="600" w:lineRule="exact"/>
        <w:jc w:val="center"/>
        <w:outlineLvl w:val="0"/>
        <w:rPr>
          <w:rFonts w:ascii="黑体" w:eastAsia="黑体" w:hAnsi="黑体" w:cs="方正小标宋简体"/>
          <w:sz w:val="36"/>
          <w:szCs w:val="36"/>
        </w:rPr>
      </w:pPr>
      <w:bookmarkStart w:id="59" w:name="_Toc15396616"/>
      <w:r>
        <w:rPr>
          <w:rFonts w:ascii="黑体" w:eastAsia="黑体" w:hAnsi="黑体" w:cs="方正小标宋简体" w:hint="eastAsia"/>
          <w:sz w:val="36"/>
          <w:szCs w:val="36"/>
        </w:rPr>
        <w:t>仁和区环境监测站2018年部门整体支出绩效评价</w:t>
      </w:r>
    </w:p>
    <w:p>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报  告</w:t>
      </w:r>
      <w:bookmarkEnd w:id="59"/>
    </w:p>
    <w:p>
      <w:pPr>
        <w:spacing w:line="580" w:lineRule="exact"/>
        <w:ind w:firstLineChars="200" w:firstLine="640"/>
        <w:rPr>
          <w:rFonts w:ascii="黑体" w:eastAsia="黑体" w:hAnsi="黑体" w:cs="黑体"/>
          <w:sz w:val="32"/>
          <w:szCs w:val="32"/>
        </w:rPr>
      </w:pPr>
    </w:p>
    <w:p>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w:t>
      </w:r>
      <w:r>
        <w:rPr>
          <w:rFonts w:ascii="仿宋" w:eastAsia="仿宋" w:hAnsi="仿宋" w:cs="仿宋_GB2312" w:hint="eastAsia"/>
          <w:b/>
          <w:sz w:val="32"/>
          <w:szCs w:val="32"/>
        </w:rPr>
        <w:t>一</w:t>
      </w:r>
      <w:r>
        <w:rPr>
          <w:rFonts w:ascii="仿宋" w:eastAsia="仿宋" w:hAnsi="仿宋" w:cs="仿宋_GB2312"/>
          <w:b/>
          <w:sz w:val="32"/>
          <w:szCs w:val="32"/>
        </w:rPr>
        <w:t>）机构职能。</w:t>
      </w:r>
    </w:p>
    <w:p>
      <w:pPr>
        <w:spacing w:line="580" w:lineRule="exact"/>
        <w:ind w:firstLineChars="200" w:firstLine="640"/>
        <w:rPr>
          <w:rFonts w:ascii="仿宋" w:eastAsia="仿宋" w:hAnsi="仿宋" w:cs="仿宋_GB2312"/>
          <w:sz w:val="32"/>
          <w:szCs w:val="32"/>
        </w:rPr>
      </w:pPr>
      <w:r>
        <w:rPr>
          <w:rFonts w:ascii="仿宋" w:eastAsia="仿宋" w:hAnsi="仿宋" w:hint="eastAsia"/>
          <w:sz w:val="32"/>
          <w:szCs w:val="32"/>
        </w:rPr>
        <w:t>主要承担辖区环境质量现状监测、污染源监督性监测、突发污染事件应急监测、污染纠纷仲裁监测和上级环境保护部门下达的其他监测任务，为环境管理提供技术支持。</w:t>
      </w:r>
    </w:p>
    <w:p>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b/>
          <w:sz w:val="32"/>
          <w:szCs w:val="32"/>
        </w:rPr>
        <w:t>二</w:t>
      </w:r>
      <w:r>
        <w:rPr>
          <w:rFonts w:ascii="仿宋" w:eastAsia="仿宋" w:hAnsi="仿宋" w:cs="仿宋_GB2312"/>
          <w:b/>
          <w:sz w:val="32"/>
          <w:szCs w:val="32"/>
        </w:rPr>
        <w:t>）人员概况。</w:t>
      </w:r>
    </w:p>
    <w:p>
      <w:pPr>
        <w:spacing w:line="580" w:lineRule="exact"/>
        <w:ind w:firstLineChars="200" w:firstLine="640"/>
        <w:rPr>
          <w:rFonts w:ascii="仿宋" w:eastAsia="仿宋" w:hAnsi="仿宋" w:cs="仿宋_GB2312"/>
          <w:sz w:val="32"/>
          <w:szCs w:val="32"/>
        </w:rPr>
      </w:pPr>
      <w:r>
        <w:rPr>
          <w:rFonts w:ascii="仿宋" w:eastAsia="仿宋" w:hAnsi="仿宋" w:hint="eastAsia"/>
          <w:sz w:val="32"/>
          <w:szCs w:val="32"/>
        </w:rPr>
        <w:t>现有编制</w:t>
      </w:r>
      <w:r>
        <w:rPr>
          <w:rFonts w:ascii="仿宋" w:eastAsia="仿宋" w:hAnsi="仿宋"/>
          <w:sz w:val="32"/>
          <w:szCs w:val="32"/>
        </w:rPr>
        <w:t>15</w:t>
      </w:r>
      <w:r>
        <w:rPr>
          <w:rFonts w:ascii="仿宋" w:eastAsia="仿宋" w:hAnsi="仿宋" w:hint="eastAsia"/>
          <w:sz w:val="32"/>
          <w:szCs w:val="32"/>
        </w:rPr>
        <w:t>人，实有在编在岗人员</w:t>
      </w:r>
      <w:r>
        <w:rPr>
          <w:rFonts w:ascii="仿宋" w:eastAsia="仿宋" w:hAnsi="仿宋"/>
          <w:sz w:val="32"/>
          <w:szCs w:val="32"/>
        </w:rPr>
        <w:t>13</w:t>
      </w:r>
      <w:r>
        <w:rPr>
          <w:rFonts w:ascii="仿宋" w:eastAsia="仿宋" w:hAnsi="仿宋" w:hint="eastAsia"/>
          <w:sz w:val="32"/>
          <w:szCs w:val="32"/>
        </w:rPr>
        <w:t>名，退休</w:t>
      </w:r>
      <w:r>
        <w:rPr>
          <w:rFonts w:ascii="仿宋" w:eastAsia="仿宋" w:hAnsi="仿宋"/>
          <w:sz w:val="32"/>
          <w:szCs w:val="32"/>
        </w:rPr>
        <w:t>1</w:t>
      </w:r>
      <w:r>
        <w:rPr>
          <w:rFonts w:ascii="仿宋" w:eastAsia="仿宋" w:hAnsi="仿宋" w:hint="eastAsia"/>
          <w:sz w:val="32"/>
          <w:szCs w:val="32"/>
        </w:rPr>
        <w:t>名。</w:t>
      </w:r>
    </w:p>
    <w:p>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pPr>
        <w:spacing w:line="580" w:lineRule="exact"/>
        <w:ind w:firstLineChars="200" w:firstLine="640"/>
        <w:rPr>
          <w:rFonts w:ascii="黑体" w:eastAsia="黑体" w:hAnsi="黑体" w:cs="仿宋_GB2312"/>
          <w:sz w:val="32"/>
          <w:szCs w:val="32"/>
        </w:rPr>
      </w:pPr>
      <w:r>
        <w:rPr>
          <w:rFonts w:ascii="黑体" w:eastAsia="黑体" w:hAnsi="黑体" w:cs="仿宋_GB2312"/>
          <w:sz w:val="32"/>
          <w:szCs w:val="32"/>
        </w:rPr>
        <w:t>（一）部门财政资金收入情况。</w:t>
      </w:r>
    </w:p>
    <w:p>
      <w:pPr>
        <w:snapToGrid w:val="0"/>
        <w:spacing w:line="353" w:lineRule="auto"/>
        <w:ind w:firstLineChars="200"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年度区环境监测站收入总计</w:t>
      </w:r>
      <w:r>
        <w:rPr>
          <w:rFonts w:ascii="仿宋" w:eastAsia="仿宋" w:hAnsi="仿宋"/>
          <w:sz w:val="32"/>
          <w:szCs w:val="32"/>
        </w:rPr>
        <w:t>277.5</w:t>
      </w:r>
      <w:r>
        <w:rPr>
          <w:rFonts w:ascii="仿宋" w:eastAsia="仿宋" w:hAnsi="仿宋" w:hint="eastAsia"/>
          <w:sz w:val="32"/>
          <w:szCs w:val="32"/>
        </w:rPr>
        <w:t>1万元。其中：财政拨款收入共计</w:t>
      </w:r>
      <w:r>
        <w:rPr>
          <w:rFonts w:ascii="仿宋" w:eastAsia="仿宋" w:hAnsi="仿宋"/>
          <w:sz w:val="32"/>
          <w:szCs w:val="32"/>
        </w:rPr>
        <w:t>261.54</w:t>
      </w:r>
      <w:r>
        <w:rPr>
          <w:rFonts w:ascii="仿宋" w:eastAsia="仿宋" w:hAnsi="仿宋" w:hint="eastAsia"/>
          <w:sz w:val="32"/>
          <w:szCs w:val="32"/>
        </w:rPr>
        <w:t>万元；年初结转和结余资金15.97万元。</w:t>
      </w:r>
    </w:p>
    <w:p>
      <w:pPr>
        <w:spacing w:line="580" w:lineRule="exact"/>
        <w:ind w:firstLineChars="200" w:firstLine="640"/>
        <w:rPr>
          <w:rFonts w:ascii="黑体" w:eastAsia="黑体" w:hAnsi="黑体" w:cs="仿宋_GB2312"/>
          <w:sz w:val="32"/>
          <w:szCs w:val="32"/>
        </w:rPr>
      </w:pPr>
      <w:r>
        <w:rPr>
          <w:rFonts w:ascii="黑体" w:eastAsia="黑体" w:hAnsi="黑体" w:cs="仿宋_GB2312"/>
          <w:sz w:val="32"/>
          <w:szCs w:val="32"/>
        </w:rPr>
        <w:t>（二）部门财政资金支出情况。</w:t>
      </w:r>
    </w:p>
    <w:p>
      <w:pPr>
        <w:snapToGrid w:val="0"/>
        <w:spacing w:line="353" w:lineRule="auto"/>
        <w:ind w:firstLineChars="200" w:firstLine="640"/>
        <w:rPr>
          <w:rFonts w:ascii="仿宋" w:eastAsia="仿宋" w:hAnsi="仿宋"/>
          <w:sz w:val="32"/>
          <w:szCs w:val="32"/>
        </w:rPr>
      </w:pPr>
      <w:r>
        <w:rPr>
          <w:rFonts w:ascii="仿宋" w:eastAsia="仿宋" w:hAnsi="仿宋" w:hint="eastAsia"/>
          <w:sz w:val="32"/>
          <w:szCs w:val="32"/>
        </w:rPr>
        <w:t>2018年度区环境监测站支出总计277.51万元。</w:t>
      </w:r>
      <w:r>
        <w:rPr>
          <w:rFonts w:ascii="仿宋" w:eastAsia="仿宋" w:hAnsi="仿宋"/>
          <w:sz w:val="32"/>
          <w:szCs w:val="32"/>
        </w:rPr>
        <w:t>2018</w:t>
      </w:r>
      <w:r>
        <w:rPr>
          <w:rFonts w:ascii="仿宋" w:eastAsia="仿宋" w:hAnsi="仿宋" w:hint="eastAsia"/>
          <w:sz w:val="32"/>
          <w:szCs w:val="32"/>
        </w:rPr>
        <w:t>年度财政拨款支出</w:t>
      </w:r>
      <w:r>
        <w:rPr>
          <w:rFonts w:ascii="仿宋" w:eastAsia="仿宋" w:hAnsi="仿宋"/>
          <w:sz w:val="32"/>
          <w:szCs w:val="32"/>
        </w:rPr>
        <w:t>258.00</w:t>
      </w:r>
      <w:r>
        <w:rPr>
          <w:rFonts w:ascii="仿宋" w:eastAsia="仿宋" w:hAnsi="仿宋" w:hint="eastAsia"/>
          <w:sz w:val="32"/>
          <w:szCs w:val="32"/>
        </w:rPr>
        <w:t>万元，年未结转和结余19.51万元。</w:t>
      </w:r>
      <w:r>
        <w:rPr>
          <w:rFonts w:ascii="仿宋" w:eastAsia="仿宋" w:hAnsi="仿宋"/>
          <w:sz w:val="32"/>
          <w:szCs w:val="32"/>
        </w:rPr>
        <w:t xml:space="preserve"> </w:t>
      </w:r>
    </w:p>
    <w:p>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lastRenderedPageBreak/>
        <w:t>（一）部门预算管理。</w:t>
      </w:r>
    </w:p>
    <w:p>
      <w:pPr>
        <w:snapToGrid w:val="0"/>
        <w:spacing w:line="353" w:lineRule="auto"/>
        <w:ind w:firstLineChars="200" w:firstLine="640"/>
        <w:rPr>
          <w:rFonts w:ascii="仿宋" w:eastAsia="仿宋" w:hAnsi="仿宋"/>
          <w:sz w:val="32"/>
          <w:szCs w:val="32"/>
        </w:rPr>
      </w:pPr>
      <w:r>
        <w:rPr>
          <w:rFonts w:ascii="仿宋" w:eastAsia="仿宋" w:hAnsi="仿宋" w:hint="eastAsia"/>
          <w:sz w:val="32"/>
          <w:szCs w:val="32"/>
        </w:rPr>
        <w:t>我站严格按照区财政局《关于编制</w:t>
      </w:r>
      <w:r>
        <w:rPr>
          <w:rFonts w:ascii="仿宋" w:eastAsia="仿宋" w:hAnsi="仿宋"/>
          <w:sz w:val="32"/>
          <w:szCs w:val="32"/>
        </w:rPr>
        <w:t>2018</w:t>
      </w:r>
      <w:r>
        <w:rPr>
          <w:rFonts w:ascii="仿宋" w:eastAsia="仿宋" w:hAnsi="仿宋" w:hint="eastAsia"/>
          <w:sz w:val="32"/>
          <w:szCs w:val="32"/>
        </w:rPr>
        <w:t>年度本级预算的通知》相关文件精神编制</w:t>
      </w:r>
      <w:r>
        <w:rPr>
          <w:rFonts w:ascii="仿宋" w:eastAsia="仿宋" w:hAnsi="仿宋"/>
          <w:sz w:val="32"/>
          <w:szCs w:val="32"/>
        </w:rPr>
        <w:t>2018</w:t>
      </w:r>
      <w:r>
        <w:rPr>
          <w:rFonts w:ascii="仿宋" w:eastAsia="仿宋" w:hAnsi="仿宋" w:hint="eastAsia"/>
          <w:sz w:val="32"/>
          <w:szCs w:val="32"/>
        </w:rPr>
        <w:t>年度预算，学习相关法律法规、掌握预算编制相关政策基础上，准确编制部门预算，全面反映部门真实收入情况。</w:t>
      </w:r>
    </w:p>
    <w:p>
      <w:pPr>
        <w:snapToGrid w:val="0"/>
        <w:spacing w:line="353" w:lineRule="auto"/>
        <w:ind w:firstLineChars="200" w:firstLine="640"/>
        <w:rPr>
          <w:rFonts w:eastAsia="仿宋_GB2312"/>
          <w:sz w:val="32"/>
          <w:szCs w:val="32"/>
        </w:rPr>
      </w:pPr>
      <w:r>
        <w:rPr>
          <w:rFonts w:ascii="仿宋" w:eastAsia="仿宋" w:hAnsi="仿宋" w:hint="eastAsia"/>
          <w:sz w:val="32"/>
          <w:szCs w:val="32"/>
        </w:rPr>
        <w:t>及时在仁和区公众信息网公示预算批复情况，各项经费的开支范围以预算批复数为基准，严格按照工作进度执行预算，由财政按时足额直发工资。项目资金根据项目完成情况及时支付，确保全年目标任务完成。</w:t>
      </w:r>
    </w:p>
    <w:p>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pPr>
        <w:spacing w:line="580" w:lineRule="exact"/>
        <w:ind w:firstLineChars="200" w:firstLine="640"/>
        <w:rPr>
          <w:rFonts w:ascii="仿宋" w:eastAsia="仿宋" w:hAnsi="仿宋" w:cs="仿宋_GB2312"/>
          <w:sz w:val="32"/>
          <w:szCs w:val="32"/>
        </w:rPr>
      </w:pPr>
      <w:r>
        <w:rPr>
          <w:rFonts w:ascii="仿宋" w:eastAsia="仿宋" w:hAnsi="仿宋" w:hint="eastAsia"/>
          <w:sz w:val="32"/>
          <w:szCs w:val="32"/>
        </w:rPr>
        <w:t>按照根据项目要求对项目进行充分论证、分析和绩效评估、明确支出范围、采取零基预算的方法编制项目支出预算。项目资金根据项目完成情况及时支付，确保全年目标任务完成。</w:t>
      </w:r>
    </w:p>
    <w:p>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pPr>
        <w:tabs>
          <w:tab w:val="left" w:pos="312"/>
        </w:tabs>
        <w:spacing w:line="580" w:lineRule="exact"/>
        <w:ind w:firstLineChars="200" w:firstLine="640"/>
        <w:rPr>
          <w:rFonts w:ascii="仿宋" w:eastAsia="仿宋" w:hAnsi="仿宋"/>
          <w:sz w:val="32"/>
          <w:szCs w:val="32"/>
        </w:rPr>
      </w:pPr>
      <w:r>
        <w:rPr>
          <w:rFonts w:ascii="仿宋" w:eastAsia="仿宋" w:hAnsi="仿宋" w:cs="仿宋_GB2312" w:hint="eastAsia"/>
          <w:sz w:val="32"/>
          <w:szCs w:val="32"/>
        </w:rPr>
        <w:t>打击环境违法行为，督促企业开展清洁生产，有效控制环境污染事故，为环保“三大战役”和监察执法提供了强有力的技术支撑和保障。</w:t>
      </w:r>
    </w:p>
    <w:p>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（一）评价结论。</w:t>
      </w:r>
    </w:p>
    <w:p>
      <w:pPr>
        <w:snapToGrid w:val="0"/>
        <w:spacing w:line="353" w:lineRule="auto"/>
        <w:ind w:firstLineChars="200" w:firstLine="640"/>
        <w:rPr>
          <w:rFonts w:ascii="仿宋" w:eastAsia="仿宋" w:hAnsi="仿宋"/>
          <w:sz w:val="32"/>
          <w:szCs w:val="32"/>
        </w:rPr>
      </w:pPr>
      <w:r>
        <w:rPr>
          <w:rFonts w:ascii="仿宋" w:eastAsia="仿宋" w:hAnsi="仿宋" w:hint="eastAsia"/>
          <w:sz w:val="32"/>
          <w:szCs w:val="32"/>
        </w:rPr>
        <w:t>总体上看，我站</w:t>
      </w:r>
      <w:r>
        <w:rPr>
          <w:rFonts w:ascii="仿宋" w:eastAsia="仿宋" w:hAnsi="仿宋"/>
          <w:sz w:val="32"/>
          <w:szCs w:val="32"/>
        </w:rPr>
        <w:t>2018</w:t>
      </w:r>
      <w:r>
        <w:rPr>
          <w:rFonts w:ascii="仿宋" w:eastAsia="仿宋" w:hAnsi="仿宋" w:hint="eastAsia"/>
          <w:sz w:val="32"/>
          <w:szCs w:val="32"/>
        </w:rPr>
        <w:t>年部门整体支出情况良好，预算、执行、收支、资产管理及信息公开都严格按相关制度要求进行，全年收支平衡，有效保证了机构运转，圆满完成了上级</w:t>
      </w:r>
      <w:r>
        <w:rPr>
          <w:rFonts w:ascii="仿宋" w:eastAsia="仿宋" w:hAnsi="仿宋" w:hint="eastAsia"/>
          <w:sz w:val="32"/>
          <w:szCs w:val="32"/>
        </w:rPr>
        <w:lastRenderedPageBreak/>
        <w:t>下达的目标任务，取得了较大的社会效益。</w:t>
      </w:r>
    </w:p>
    <w:p>
      <w:pPr>
        <w:spacing w:line="580" w:lineRule="exact"/>
        <w:ind w:firstLineChars="200" w:firstLine="643"/>
        <w:rPr>
          <w:rFonts w:asciiTheme="minorEastAsia" w:eastAsiaTheme="minorEastAsia" w:hAnsiTheme="minorEastAsia" w:cs="仿宋_GB2312"/>
          <w:b/>
          <w:sz w:val="32"/>
          <w:szCs w:val="32"/>
        </w:rPr>
      </w:pPr>
      <w:r>
        <w:rPr>
          <w:rFonts w:asciiTheme="minorEastAsia" w:eastAsiaTheme="minorEastAsia" w:hAnsiTheme="minorEastAsia" w:cs="仿宋_GB2312"/>
          <w:b/>
          <w:sz w:val="32"/>
          <w:szCs w:val="32"/>
        </w:rPr>
        <w:t>（二）存在问题。</w:t>
      </w:r>
    </w:p>
    <w:p>
      <w:pPr>
        <w:snapToGrid w:val="0"/>
        <w:spacing w:line="353" w:lineRule="auto"/>
        <w:ind w:firstLineChars="200" w:firstLine="640"/>
        <w:rPr>
          <w:rFonts w:ascii="仿宋" w:eastAsia="仿宋" w:hAnsi="仿宋"/>
          <w:sz w:val="32"/>
          <w:szCs w:val="32"/>
        </w:rPr>
      </w:pPr>
      <w:r>
        <w:rPr>
          <w:rFonts w:ascii="仿宋" w:eastAsia="仿宋" w:hAnsi="仿宋" w:hint="eastAsia"/>
          <w:sz w:val="32"/>
          <w:szCs w:val="32"/>
        </w:rPr>
        <w:t>通过自评，我站还存在部分专项资金使用范围不明确导致资金使用进度缓慢的问题。</w:t>
      </w:r>
    </w:p>
    <w:p>
      <w:pPr>
        <w:spacing w:line="580" w:lineRule="exact"/>
        <w:ind w:firstLineChars="200" w:firstLine="643"/>
        <w:rPr>
          <w:rFonts w:asciiTheme="minorEastAsia" w:eastAsiaTheme="minorEastAsia" w:hAnsiTheme="minorEastAsia" w:cs="仿宋_GB2312"/>
          <w:b/>
          <w:sz w:val="32"/>
          <w:szCs w:val="32"/>
        </w:rPr>
      </w:pPr>
      <w:r>
        <w:rPr>
          <w:rFonts w:asciiTheme="minorEastAsia" w:eastAsiaTheme="minorEastAsia" w:hAnsiTheme="minorEastAsia" w:cs="仿宋_GB2312"/>
          <w:b/>
          <w:sz w:val="32"/>
          <w:szCs w:val="32"/>
        </w:rPr>
        <w:t>（三）改进建议。</w:t>
      </w:r>
    </w:p>
    <w:p>
      <w:pPr>
        <w:snapToGrid w:val="0"/>
        <w:spacing w:line="353" w:lineRule="auto"/>
        <w:ind w:firstLineChars="200" w:firstLine="640"/>
        <w:rPr>
          <w:rFonts w:ascii="仿宋" w:eastAsia="仿宋" w:hAnsi="仿宋"/>
          <w:sz w:val="32"/>
          <w:szCs w:val="32"/>
        </w:rPr>
      </w:pPr>
      <w:r>
        <w:rPr>
          <w:rFonts w:ascii="仿宋" w:eastAsia="仿宋" w:hAnsi="仿宋" w:hint="eastAsia"/>
          <w:sz w:val="32"/>
          <w:szCs w:val="32"/>
        </w:rPr>
        <w:t>将加强单位内部控制建设，建立内控长效机制，进一步加强财务管理和监督，严控“三公经费”支出，严格管理现金支出，加大与上级主管部门在项目建设方面的沟通协调，不断提高财政资金使用管理质效。</w:t>
      </w: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sz w:val="32"/>
          <w:szCs w:val="32"/>
        </w:rPr>
      </w:pPr>
    </w:p>
    <w:p>
      <w:pPr>
        <w:snapToGrid w:val="0"/>
        <w:spacing w:line="353" w:lineRule="auto"/>
        <w:ind w:firstLineChars="200" w:firstLine="640"/>
        <w:rPr>
          <w:rFonts w:ascii="宋体" w:hAnsi="宋体" w:hint="eastAsia"/>
          <w:sz w:val="32"/>
          <w:szCs w:val="32"/>
        </w:rPr>
      </w:pPr>
    </w:p>
    <w:p>
      <w:pPr>
        <w:snapToGrid w:val="0"/>
        <w:spacing w:line="353" w:lineRule="auto"/>
        <w:ind w:firstLineChars="200" w:firstLine="640"/>
        <w:rPr>
          <w:rFonts w:ascii="宋体" w:hAnsi="宋体"/>
          <w:sz w:val="32"/>
          <w:szCs w:val="32"/>
        </w:rPr>
      </w:pPr>
    </w:p>
    <w:p>
      <w:pPr>
        <w:spacing w:line="600" w:lineRule="exact"/>
        <w:jc w:val="center"/>
        <w:outlineLvl w:val="0"/>
        <w:rPr>
          <w:rFonts w:ascii="黑体" w:eastAsia="黑体" w:hAnsi="黑体"/>
          <w:color w:val="000000"/>
          <w:sz w:val="44"/>
          <w:szCs w:val="44"/>
        </w:rPr>
      </w:pPr>
      <w:bookmarkStart w:id="60" w:name="_Toc15396618"/>
    </w:p>
    <w:p>
      <w:pPr>
        <w:spacing w:line="600" w:lineRule="exact"/>
        <w:jc w:val="center"/>
        <w:outlineLvl w:val="0"/>
        <w:rPr>
          <w:rFonts w:ascii="黑体" w:eastAsia="黑体" w:hAnsi="黑体"/>
          <w:color w:val="000000"/>
          <w:sz w:val="44"/>
          <w:szCs w:val="44"/>
        </w:rPr>
      </w:pPr>
    </w:p>
    <w:p>
      <w:pPr>
        <w:spacing w:line="600" w:lineRule="exact"/>
        <w:jc w:val="center"/>
        <w:outlineLvl w:val="0"/>
        <w:rPr>
          <w:rStyle w:val="1Char"/>
          <w:rFonts w:ascii="黑体" w:eastAsia="黑体" w:hAnsi="黑体"/>
          <w:b w:val="0"/>
        </w:rPr>
      </w:pPr>
      <w:bookmarkStart w:id="61" w:name="_GoBack"/>
      <w:bookmarkEnd w:id="61"/>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7"/>
      <w:bookmarkEnd w:id="60"/>
    </w:p>
    <w:p>
      <w:pPr>
        <w:spacing w:line="600" w:lineRule="exact"/>
        <w:jc w:val="center"/>
        <w:outlineLvl w:val="0"/>
        <w:rPr>
          <w:rFonts w:ascii="仿宋" w:eastAsia="仿宋" w:hAnsi="仿宋"/>
          <w:b/>
          <w:color w:val="000000"/>
          <w:sz w:val="44"/>
          <w:szCs w:val="44"/>
        </w:rPr>
      </w:pPr>
    </w:p>
    <w:p>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入总表</w:t>
      </w:r>
      <w:bookmarkEnd w:id="63"/>
    </w:p>
    <w:p>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4"/>
    </w:p>
    <w:p>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pPr>
        <w:pStyle w:val="2"/>
        <w:rPr>
          <w:rFonts w:ascii="仿宋" w:eastAsia="仿宋" w:hAnsi="仿宋"/>
          <w:color w:val="000000"/>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6"/>
    </w:p>
    <w:p>
      <w:pPr>
        <w:pStyle w:val="2"/>
        <w:rPr>
          <w:rFonts w:ascii="仿宋" w:eastAsia="仿宋" w:hAnsi="仿宋"/>
          <w:color w:val="000000"/>
        </w:rPr>
      </w:pPr>
      <w:bookmarkStart w:id="6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pPr>
        <w:pStyle w:val="2"/>
        <w:rPr>
          <w:rFonts w:ascii="仿宋" w:eastAsia="仿宋" w:hAnsi="仿宋"/>
          <w:color w:val="000000"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pPr>
          <w:pStyle w:val="a5"/>
          <w:jc w:val="center"/>
        </w:pPr>
        <w:fldSimple w:instr="PAGE   \* MERGEFORMAT">
          <w:r>
            <w:rPr>
              <w:noProof/>
              <w:lang w:val="zh-CN"/>
            </w:rPr>
            <w:t>19</w:t>
          </w:r>
        </w:fldSimple>
      </w:p>
    </w:sdtContent>
  </w:sdt>
  <w:p>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7F3694-A98D-4695-B16A-BD2741CEB3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1546</Words>
  <Characters>8818</Characters>
  <Application>Microsoft Office Word</Application>
  <DocSecurity>0</DocSecurity>
  <Lines>73</Lines>
  <Paragraphs>20</Paragraphs>
  <ScaleCrop>false</ScaleCrop>
  <Company>四川省财政厅</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攀枝花市仁和区环境保护局</cp:lastModifiedBy>
  <cp:revision>60</cp:revision>
  <cp:lastPrinted>2019-10-28T03:03:00Z</cp:lastPrinted>
  <dcterms:created xsi:type="dcterms:W3CDTF">2019-08-01T01:14:00Z</dcterms:created>
  <dcterms:modified xsi:type="dcterms:W3CDTF">2019-10-28T03:04:00Z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