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15378441"/>
      <w:bookmarkStart w:id="5" w:name="_Toc15396475"/>
      <w:bookmarkStart w:id="86" w:name="_GoBack"/>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7426"/>
      <w:bookmarkStart w:id="8" w:name="_Toc15378442"/>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民政</w:t>
      </w:r>
      <w:r>
        <w:rPr>
          <w:rFonts w:hint="eastAsia" w:ascii="方正小标宋简体" w:hAnsi="宋体" w:eastAsia="方正小标宋简体"/>
          <w:color w:val="000000"/>
          <w:sz w:val="72"/>
          <w:szCs w:val="72"/>
        </w:rPr>
        <w:t>局部门决算</w:t>
      </w:r>
      <w:bookmarkEnd w:id="6"/>
      <w:bookmarkEnd w:id="7"/>
      <w:bookmarkEnd w:id="8"/>
      <w:bookmarkEnd w:id="9"/>
      <w:bookmarkEnd w:id="10"/>
      <w:bookmarkEnd w:id="11"/>
    </w:p>
    <w:bookmarkEnd w:id="86"/>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pPr>
      <w:r>
        <w:fldChar w:fldCharType="begin"/>
      </w:r>
      <w:r>
        <w:instrText xml:space="preserve"> HYPERLINK \l "_Toc15396599" </w:instrText>
      </w:r>
      <w:r>
        <w:fldChar w:fldCharType="separate"/>
      </w:r>
      <w:r>
        <w:rPr>
          <w:rStyle w:val="15"/>
          <w:rFonts w:hint="eastAsia"/>
        </w:rPr>
        <w:t>第一部分部门概况</w:t>
      </w:r>
      <w:r>
        <w:tab/>
      </w:r>
      <w:r>
        <w:t>4</w:t>
      </w:r>
      <w:r>
        <w:fldChar w:fldCharType="end"/>
      </w:r>
    </w:p>
    <w:p>
      <w:pPr>
        <w:pStyle w:val="11"/>
        <w:ind w:left="31680"/>
        <w:rPr>
          <w:rFonts w:ascii="仿宋" w:hAnsi="仿宋" w:eastAsia="仿宋"/>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"_Toc15396603" </w:instrText>
      </w:r>
      <w:r>
        <w:fldChar w:fldCharType="separate"/>
      </w:r>
      <w:r>
        <w:rPr>
          <w:rStyle w:val="15"/>
          <w:rFonts w:hint="eastAsia" w:ascii="仿宋" w:hAnsi="仿宋" w:eastAsia="仿宋"/>
          <w:bCs/>
          <w:sz w:val="28"/>
          <w:szCs w:val="28"/>
        </w:rPr>
        <w:t>一、</w:t>
      </w:r>
      <w:r>
        <w:rPr>
          <w:rStyle w:val="15"/>
          <w:rFonts w:hint="eastAsia" w:ascii="仿宋" w:hAnsi="仿宋" w:eastAsia="仿宋"/>
          <w:sz w:val="28"/>
          <w:szCs w:val="28"/>
        </w:rPr>
        <w:t>收</w:t>
      </w:r>
      <w:r>
        <w:rPr>
          <w:rStyle w:val="15"/>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"_Toc15396604" </w:instrText>
      </w:r>
      <w:r>
        <w:fldChar w:fldCharType="separate"/>
      </w:r>
      <w:r>
        <w:rPr>
          <w:rStyle w:val="15"/>
          <w:rFonts w:hint="eastAsia" w:ascii="仿宋" w:hAnsi="仿宋" w:eastAsia="仿宋"/>
          <w:bCs/>
          <w:sz w:val="28"/>
          <w:szCs w:val="28"/>
        </w:rPr>
        <w:t>二、</w:t>
      </w:r>
      <w:r>
        <w:rPr>
          <w:rStyle w:val="15"/>
          <w:rFonts w:hint="eastAsia" w:ascii="仿宋" w:hAnsi="仿宋" w:eastAsia="仿宋"/>
          <w:sz w:val="28"/>
          <w:szCs w:val="28"/>
        </w:rPr>
        <w:t>收</w:t>
      </w:r>
      <w:r>
        <w:rPr>
          <w:rStyle w:val="15"/>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"_Toc15396605" </w:instrText>
      </w:r>
      <w:r>
        <w:fldChar w:fldCharType="separate"/>
      </w:r>
      <w:r>
        <w:rPr>
          <w:rStyle w:val="15"/>
          <w:rFonts w:hint="eastAsia" w:ascii="仿宋" w:hAnsi="仿宋" w:eastAsia="仿宋"/>
          <w:bCs/>
          <w:sz w:val="28"/>
          <w:szCs w:val="28"/>
        </w:rPr>
        <w:t>三、</w:t>
      </w:r>
      <w:r>
        <w:rPr>
          <w:rStyle w:val="15"/>
          <w:rFonts w:hint="eastAsia" w:ascii="仿宋" w:hAnsi="仿宋" w:eastAsia="仿宋"/>
          <w:sz w:val="28"/>
          <w:szCs w:val="28"/>
        </w:rPr>
        <w:t>支</w:t>
      </w:r>
      <w:r>
        <w:rPr>
          <w:rStyle w:val="15"/>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"_Toc15396611" </w:instrText>
      </w:r>
      <w:r>
        <w:fldChar w:fldCharType="separate"/>
      </w:r>
      <w:r>
        <w:rPr>
          <w:rStyle w:val="15"/>
          <w:rFonts w:hint="eastAsia" w:ascii="仿宋" w:hAnsi="仿宋" w:eastAsia="仿宋"/>
          <w:bCs/>
          <w:sz w:val="28"/>
          <w:szCs w:val="28"/>
        </w:rPr>
        <w:t>九、</w:t>
      </w:r>
      <w:r>
        <w:rPr>
          <w:rStyle w:val="15"/>
          <w:rFonts w:ascii="仿宋" w:hAnsi="仿宋" w:eastAsia="仿宋"/>
          <w:sz w:val="28"/>
          <w:szCs w:val="28"/>
        </w:rPr>
        <w:t xml:space="preserve"> </w:t>
      </w:r>
      <w:r>
        <w:rPr>
          <w:rStyle w:val="15"/>
          <w:rFonts w:hint="eastAsia" w:ascii="仿宋" w:hAnsi="仿宋" w:eastAsia="仿宋"/>
          <w:sz w:val="28"/>
          <w:szCs w:val="28"/>
        </w:rPr>
        <w:t>国</w:t>
      </w:r>
      <w:r>
        <w:rPr>
          <w:rStyle w:val="15"/>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"_Toc15396613" </w:instrText>
      </w:r>
      <w:r>
        <w:fldChar w:fldCharType="separate"/>
      </w:r>
      <w:r>
        <w:rPr>
          <w:rStyle w:val="15"/>
          <w:rFonts w:hint="eastAsia"/>
          <w:bCs/>
          <w:kern w:val="44"/>
        </w:rPr>
        <w:t>第三部分</w:t>
      </w:r>
      <w:r>
        <w:rPr>
          <w:rStyle w:val="15"/>
        </w:rPr>
        <w:t xml:space="preserve"> </w:t>
      </w:r>
      <w:r>
        <w:rPr>
          <w:rStyle w:val="15"/>
          <w:rFonts w:hint="eastAsia"/>
        </w:rPr>
        <w:t>名</w:t>
      </w:r>
      <w:r>
        <w:rPr>
          <w:rStyle w:val="15"/>
          <w:rFonts w:hint="eastAsia"/>
          <w:bCs/>
          <w:kern w:val="44"/>
        </w:rPr>
        <w:t>词解释</w:t>
      </w:r>
      <w:r>
        <w:tab/>
      </w:r>
      <w:r>
        <w:fldChar w:fldCharType="begin"/>
      </w:r>
      <w:r>
        <w:instrText xml:space="preserve"> PAGEREF _Toc15396613 \h </w:instrText>
      </w:r>
      <w:r>
        <w:fldChar w:fldCharType="separate"/>
      </w:r>
      <w:r>
        <w:t>3</w:t>
      </w:r>
      <w:r>
        <w:fldChar w:fldCharType="end"/>
      </w:r>
      <w:r>
        <w:fldChar w:fldCharType="end"/>
      </w:r>
    </w:p>
    <w:p>
      <w:pPr>
        <w:pStyle w:val="10"/>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fldChar w:fldCharType="begin"/>
      </w:r>
      <w:r>
        <w:instrText xml:space="preserve"> PAGEREF _Toc15396614 \h </w:instrText>
      </w:r>
      <w:r>
        <w:fldChar w:fldCharType="separate"/>
      </w:r>
      <w:r>
        <w:t>3</w:t>
      </w:r>
      <w:r>
        <w:fldChar w:fldCharType="end"/>
      </w:r>
      <w:r>
        <w:fldChar w:fldCharType="end"/>
      </w:r>
    </w:p>
    <w:p>
      <w:pPr>
        <w:pStyle w:val="11"/>
        <w:ind w:left="31680"/>
        <w:rPr>
          <w:rFonts w:ascii="仿宋" w:hAnsi="仿宋" w:eastAsia="仿宋"/>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fldChar w:fldCharType="begin"/>
      </w:r>
      <w:r>
        <w:instrText xml:space="preserve"> PAGEREF _Toc15396618 \h </w:instrText>
      </w:r>
      <w:r>
        <w:fldChar w:fldCharType="separate"/>
      </w:r>
      <w:r>
        <w:t>3</w:t>
      </w:r>
      <w:r>
        <w:fldChar w:fldCharType="end"/>
      </w:r>
      <w:r>
        <w:fldChar w:fldCharType="end"/>
      </w:r>
    </w:p>
    <w:p>
      <w:pPr>
        <w:pStyle w:val="11"/>
        <w:ind w:left="31680"/>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pStyle w:val="11"/>
        <w:ind w:left="31680"/>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黑体" w:hAnsi="黑体" w:eastAsia="黑体"/>
          <w:color w:val="000000"/>
          <w:sz w:val="48"/>
          <w:szCs w:val="48"/>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16"/>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7"/>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bookmarkEnd w:id="16"/>
    <w:bookmarkEnd w:id="17"/>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根据《攀枝花市仁和区机构改革方案》（攀仁委〔</w:t>
      </w:r>
      <w:r>
        <w:rPr>
          <w:rFonts w:ascii="仿宋" w:hAnsi="仿宋" w:eastAsia="仿宋"/>
          <w:bCs/>
          <w:color w:val="000000"/>
          <w:sz w:val="32"/>
          <w:szCs w:val="32"/>
        </w:rPr>
        <w:t>2019</w:t>
      </w:r>
      <w:r>
        <w:rPr>
          <w:rFonts w:hint="eastAsia" w:ascii="仿宋" w:hAnsi="仿宋" w:eastAsia="仿宋"/>
          <w:bCs/>
          <w:color w:val="000000"/>
          <w:sz w:val="32"/>
          <w:szCs w:val="32"/>
        </w:rPr>
        <w:t>〕</w:t>
      </w:r>
      <w:r>
        <w:rPr>
          <w:rFonts w:ascii="仿宋" w:hAnsi="仿宋" w:eastAsia="仿宋"/>
          <w:bCs/>
          <w:color w:val="000000"/>
          <w:sz w:val="32"/>
          <w:szCs w:val="32"/>
        </w:rPr>
        <w:t xml:space="preserve">16 </w:t>
      </w:r>
      <w:r>
        <w:rPr>
          <w:rFonts w:hint="eastAsia" w:ascii="仿宋" w:hAnsi="仿宋" w:eastAsia="仿宋"/>
          <w:bCs/>
          <w:color w:val="000000"/>
          <w:sz w:val="32"/>
          <w:szCs w:val="32"/>
        </w:rPr>
        <w:t>号）和《关于〈攀枝花市仁和区机构改革方案〉的实施意见》（攀仁机改〔</w:t>
      </w:r>
      <w:r>
        <w:rPr>
          <w:rFonts w:ascii="仿宋" w:hAnsi="仿宋" w:eastAsia="仿宋"/>
          <w:bCs/>
          <w:color w:val="000000"/>
          <w:sz w:val="32"/>
          <w:szCs w:val="32"/>
        </w:rPr>
        <w:t>2019</w:t>
      </w:r>
      <w:r>
        <w:rPr>
          <w:rFonts w:hint="eastAsia" w:ascii="仿宋" w:hAnsi="仿宋" w:eastAsia="仿宋"/>
          <w:bCs/>
          <w:color w:val="000000"/>
          <w:sz w:val="32"/>
          <w:szCs w:val="32"/>
        </w:rPr>
        <w:t>〕</w:t>
      </w:r>
      <w:r>
        <w:rPr>
          <w:rFonts w:ascii="仿宋" w:hAnsi="仿宋" w:eastAsia="仿宋"/>
          <w:bCs/>
          <w:color w:val="000000"/>
          <w:sz w:val="32"/>
          <w:szCs w:val="32"/>
        </w:rPr>
        <w:t xml:space="preserve">2 </w:t>
      </w:r>
      <w:r>
        <w:rPr>
          <w:rFonts w:hint="eastAsia" w:ascii="仿宋" w:hAnsi="仿宋" w:eastAsia="仿宋"/>
          <w:bCs/>
          <w:color w:val="000000"/>
          <w:sz w:val="32"/>
          <w:szCs w:val="32"/>
        </w:rPr>
        <w:t>号），制定本规定。</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攀枝花市仁和区民政局</w:t>
      </w:r>
      <w:r>
        <w:rPr>
          <w:rFonts w:ascii="仿宋" w:hAnsi="仿宋" w:eastAsia="仿宋"/>
          <w:bCs/>
          <w:color w:val="000000"/>
          <w:sz w:val="32"/>
          <w:szCs w:val="32"/>
        </w:rPr>
        <w:t xml:space="preserve"> </w:t>
      </w:r>
      <w:r>
        <w:rPr>
          <w:rFonts w:hint="eastAsia" w:ascii="仿宋" w:hAnsi="仿宋" w:eastAsia="仿宋"/>
          <w:bCs/>
          <w:color w:val="000000"/>
          <w:sz w:val="32"/>
          <w:szCs w:val="32"/>
        </w:rPr>
        <w:t>（以下简称区民政局）是攀枝花市仁和区人民政府工作部门，为正科级。</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区民政局贯彻落实党中央关于民政工作的方针政策和省委、市委、区委的决策部署，在履行职责过程中坚持和加强党对民政工作的集中统一领导。</w:t>
      </w:r>
      <w:r>
        <w:rPr>
          <w:rFonts w:ascii="仿宋" w:hAnsi="仿宋" w:eastAsia="仿宋"/>
          <w:bCs/>
          <w:color w:val="000000"/>
          <w:sz w:val="32"/>
          <w:szCs w:val="32"/>
        </w:rPr>
        <w:t xml:space="preserve"> </w:t>
      </w:r>
      <w:r>
        <w:rPr>
          <w:rFonts w:hint="eastAsia" w:ascii="仿宋" w:hAnsi="仿宋" w:eastAsia="仿宋"/>
          <w:bCs/>
          <w:color w:val="000000"/>
          <w:sz w:val="32"/>
          <w:szCs w:val="32"/>
        </w:rPr>
        <w:t>主要职责是：</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（一）贯彻执行党和国家有关民政工作的方针政策和法律法规，拟订全区民政事业发展规划、政策、标准并组织实施。</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（二）拟订社会团体、社会服务机构等社会组织登记和监督管理办法并组织实施，按照管理权限依法对社会组织进行登记管理和执法监督。</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（三）牵头拟订社会救助规划、政策、标准，统筹推进社会救助体系建设，负责城乡居民最低生活保障、特困人员救助供养、</w:t>
      </w:r>
      <w:r>
        <w:rPr>
          <w:rFonts w:ascii="仿宋" w:hAnsi="仿宋" w:eastAsia="仿宋"/>
          <w:bCs/>
          <w:color w:val="000000"/>
          <w:sz w:val="32"/>
          <w:szCs w:val="32"/>
        </w:rPr>
        <w:t xml:space="preserve"> </w:t>
      </w:r>
      <w:r>
        <w:rPr>
          <w:rFonts w:hint="eastAsia" w:ascii="仿宋" w:hAnsi="仿宋" w:eastAsia="仿宋"/>
          <w:bCs/>
          <w:color w:val="000000"/>
          <w:sz w:val="32"/>
          <w:szCs w:val="32"/>
        </w:rPr>
        <w:t>临时救助、</w:t>
      </w:r>
      <w:r>
        <w:rPr>
          <w:rFonts w:ascii="仿宋" w:hAnsi="仿宋" w:eastAsia="仿宋"/>
          <w:bCs/>
          <w:color w:val="000000"/>
          <w:sz w:val="32"/>
          <w:szCs w:val="32"/>
        </w:rPr>
        <w:t xml:space="preserve"> </w:t>
      </w:r>
      <w:r>
        <w:rPr>
          <w:rFonts w:hint="eastAsia" w:ascii="仿宋" w:hAnsi="仿宋" w:eastAsia="仿宋"/>
          <w:bCs/>
          <w:color w:val="000000"/>
          <w:sz w:val="32"/>
          <w:szCs w:val="32"/>
        </w:rPr>
        <w:t>生活无着流浪乞讨人员救助工作。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（四）拟订城乡基层群众自治建设和社区治理政策，指导城乡社区治理体系、服务体系和治理能力建设，提出加强和改进城乡基层政权建设的建议，推动基层民主政治建设。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五）编拟全区行政区划规划；负责全区行政区域的设立、撤销、调整、更名、界线变更及其政府驻地迁移的审核上报。负责全区行政区域界线的勘定和管理工作。负责全区的地名规划和地名管理工作，调处行政区域边界争议。负责辖区内地名命名、更名、废名的审核上报；负责全区标准地名图书资料的审定。</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（六）组织实施婚姻管理政策，推进婚俗改革。</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（七）拟订殡葬管理政策、服务规范并组织实施，负责殡葬管理工作，推进殡葬改革。</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八）拟订社会福利事业发展规划、政策、标准，拟订社会福利机构管理办法并指导实施，拟订残疾人权益保护政策并监督实施。负责康复辅助器具行业管理，统筹推进残疾人福利制度建设和康复辅助器具产业发展。</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九）统筹推进、督促指导、监督管理养老服务工作，拟订养老服务体系建设规划、政策、标准并组织实施，承担老年人福利和特殊困难老年人救助工作，协调推进农村留守老年人关爱服务工作，承担城乡老年社会组织管理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（十）拟订儿童福利、孤弃儿童保障、儿童收养、儿童救助保护政策和标准并组织实施，健全农村留守儿童关爱服务体系和困境儿童保障制度。</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（十一）组织拟订促进慈善事业发展政策，指导社会捐助工作。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（十二）贯彻落实社会工作、志愿服务政策和标准，会同有关部门推进社会工作人才队伍建设和相关志愿者队伍建设。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（十三）</w:t>
      </w:r>
      <w:r>
        <w:rPr>
          <w:rFonts w:ascii="仿宋" w:hAnsi="仿宋" w:eastAsia="仿宋"/>
          <w:bCs/>
          <w:color w:val="000000"/>
          <w:sz w:val="32"/>
          <w:szCs w:val="32"/>
        </w:rPr>
        <w:t xml:space="preserve"> </w:t>
      </w:r>
      <w:r>
        <w:rPr>
          <w:rFonts w:hint="eastAsia" w:ascii="仿宋" w:hAnsi="仿宋" w:eastAsia="仿宋"/>
          <w:bCs/>
          <w:color w:val="000000"/>
          <w:sz w:val="32"/>
          <w:szCs w:val="32"/>
        </w:rPr>
        <w:t>依法依规负责康复辅助器具行业和社会福利、养老服务、殡葬服务、救助管理机构安全生产监督管理工作。负责职责范围内的职业健康、生态环境保护、审批服务便民化等工作。按照省、市要求，指导推进相对集中行政许可权改革。</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（十四）完成区委、区政府交办的其他任务。</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五）职能转变。区民政局应强化基本民生保障职能，为困难群众、孤老孤残孤儿等特殊群体提供基本社会服务，促进资源向薄弱地区、领域和环节倾斜。积极培育社会组织、社会工作者等多元参与主体，推动搭建基层社会治理和社区公共服务平台。</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（十六）有关职责分工：</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1.</w:t>
      </w:r>
      <w:r>
        <w:rPr>
          <w:rFonts w:hint="eastAsia" w:ascii="仿宋" w:hAnsi="仿宋" w:eastAsia="仿宋"/>
          <w:bCs/>
          <w:color w:val="000000"/>
          <w:sz w:val="32"/>
          <w:szCs w:val="32"/>
        </w:rPr>
        <w:t>与区卫生健康局的有关职责分工。区民政局负责统筹推进、督促指导、监督管理全区养老服务工作，拟定全区养老服务体系建设规划，贯彻执行国家、省、市养老服务体系建设法规、政策、标准，承担全区老年人福利和特殊困难老年人救助工作。区卫生健康局负责拟订应对全区人口老龄化、医养结合政策措施，综合协调、督促指导、组织推进老龄事业发展，承担老年疾病防治、老年人医疗照护、老年人心理健康与关怀服务等老年健康工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ascii="仿宋" w:hAnsi="仿宋" w:eastAsia="仿宋"/>
          <w:bCs/>
          <w:color w:val="000000"/>
          <w:sz w:val="32"/>
          <w:szCs w:val="32"/>
        </w:rPr>
        <w:t>2.</w:t>
      </w:r>
      <w:r>
        <w:rPr>
          <w:rFonts w:hint="eastAsia" w:ascii="仿宋" w:hAnsi="仿宋" w:eastAsia="仿宋"/>
          <w:bCs/>
          <w:color w:val="000000"/>
          <w:sz w:val="32"/>
          <w:szCs w:val="32"/>
        </w:rPr>
        <w:t>与市自然资源和规划局仁和区分局的有关职责分工。民政局会同市自然资源和规划局仁和区分局组织编制公布行政区划信息的仁和区行政区划图。</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2018</w:t>
      </w:r>
      <w:r>
        <w:rPr>
          <w:rFonts w:hint="eastAsia" w:ascii="仿宋" w:hAnsi="仿宋" w:eastAsia="仿宋"/>
          <w:bCs/>
          <w:color w:val="000000"/>
          <w:sz w:val="32"/>
          <w:szCs w:val="32"/>
        </w:rPr>
        <w:t>年重点工作完成情况。</w:t>
      </w:r>
      <w:bookmarkEnd w:id="18"/>
      <w:bookmarkEnd w:id="19"/>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0" w:name="OLE_LINK2"/>
      <w:bookmarkStart w:id="21" w:name="OLE_LINK1"/>
      <w:r>
        <w:rPr>
          <w:rFonts w:hint="eastAsia" w:ascii="仿宋" w:hAnsi="仿宋" w:eastAsia="仿宋"/>
          <w:bCs/>
          <w:color w:val="000000"/>
          <w:sz w:val="32"/>
          <w:szCs w:val="32"/>
        </w:rPr>
        <w:t>完成城乡居民最低生活保障救助、医疗救助、临时救助、特困供养、婚姻登记、儿童福利保障、老年福利保障、社会事务、退役军人事务、基层政权和社区建设等工作。</w:t>
      </w:r>
      <w:bookmarkEnd w:id="20"/>
      <w:bookmarkEnd w:id="21"/>
    </w:p>
    <w:p>
      <w:pPr>
        <w:pStyle w:val="3"/>
        <w:rPr>
          <w:rStyle w:val="17"/>
          <w:b w:val="0"/>
          <w:bCs w:val="0"/>
        </w:rPr>
      </w:pPr>
      <w:bookmarkStart w:id="22" w:name="_Toc15377200"/>
      <w:bookmarkStart w:id="23" w:name="_Toc15396601"/>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22"/>
      <w:bookmarkEnd w:id="23"/>
    </w:p>
    <w:p>
      <w:pPr>
        <w:ind w:firstLine="800" w:firstLineChars="250"/>
        <w:rPr>
          <w:rFonts w:ascii="仿宋" w:hAnsi="仿宋" w:eastAsia="仿宋"/>
          <w:sz w:val="32"/>
          <w:szCs w:val="32"/>
        </w:rPr>
      </w:pPr>
      <w:r>
        <w:rPr>
          <w:rFonts w:hint="eastAsia" w:ascii="仿宋" w:hAnsi="仿宋" w:eastAsia="仿宋"/>
          <w:sz w:val="32"/>
          <w:szCs w:val="32"/>
        </w:rPr>
        <w:t>仁和区民政局下属二级单位</w:t>
      </w:r>
      <w:r>
        <w:rPr>
          <w:rFonts w:ascii="仿宋" w:hAnsi="仿宋" w:eastAsia="仿宋"/>
          <w:sz w:val="32"/>
          <w:szCs w:val="32"/>
        </w:rPr>
        <w:t>4</w:t>
      </w:r>
      <w:r>
        <w:rPr>
          <w:rFonts w:hint="eastAsia" w:ascii="仿宋" w:hAnsi="仿宋" w:eastAsia="仿宋"/>
          <w:sz w:val="32"/>
          <w:szCs w:val="32"/>
        </w:rPr>
        <w:t>个，其中行政单位</w:t>
      </w:r>
      <w:r>
        <w:rPr>
          <w:rFonts w:ascii="仿宋" w:hAnsi="仿宋" w:eastAsia="仿宋"/>
          <w:sz w:val="32"/>
          <w:szCs w:val="32"/>
        </w:rPr>
        <w:t>0</w:t>
      </w:r>
      <w:r>
        <w:rPr>
          <w:rFonts w:hint="eastAsia" w:ascii="仿宋" w:hAnsi="仿宋" w:eastAsia="仿宋"/>
          <w:sz w:val="32"/>
          <w:szCs w:val="32"/>
        </w:rPr>
        <w:t>个，参照公务员法管理的事业单位</w:t>
      </w:r>
      <w:r>
        <w:rPr>
          <w:rFonts w:ascii="仿宋" w:hAnsi="仿宋" w:eastAsia="仿宋"/>
          <w:bCs/>
          <w:sz w:val="32"/>
          <w:szCs w:val="32"/>
        </w:rPr>
        <w:t>0</w:t>
      </w:r>
      <w:r>
        <w:rPr>
          <w:rFonts w:hint="eastAsia" w:ascii="仿宋" w:hAnsi="仿宋" w:eastAsia="仿宋"/>
          <w:sz w:val="32"/>
          <w:szCs w:val="32"/>
        </w:rPr>
        <w:t>个，其他事业单位</w:t>
      </w:r>
      <w:r>
        <w:rPr>
          <w:rFonts w:ascii="仿宋" w:hAnsi="仿宋" w:eastAsia="仿宋"/>
          <w:sz w:val="32"/>
          <w:szCs w:val="32"/>
        </w:rPr>
        <w:t>4</w:t>
      </w:r>
      <w:r>
        <w:rPr>
          <w:rFonts w:hint="eastAsia" w:ascii="仿宋" w:hAnsi="仿宋" w:eastAsia="仿宋"/>
          <w:sz w:val="32"/>
          <w:szCs w:val="32"/>
        </w:rPr>
        <w:t>个。</w:t>
      </w:r>
    </w:p>
    <w:p>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纳入</w:t>
      </w:r>
      <w:r>
        <w:rPr>
          <w:rFonts w:ascii="仿宋" w:hAnsi="仿宋" w:eastAsia="仿宋"/>
          <w:color w:val="000000"/>
          <w:sz w:val="32"/>
          <w:szCs w:val="32"/>
        </w:rPr>
        <w:t>2018</w:t>
      </w:r>
      <w:r>
        <w:rPr>
          <w:rFonts w:hint="eastAsia" w:ascii="仿宋" w:hAnsi="仿宋" w:eastAsia="仿宋"/>
          <w:color w:val="000000"/>
          <w:sz w:val="32"/>
          <w:szCs w:val="32"/>
        </w:rPr>
        <w:t>年度部门决算编制范围的二级预算单位包括：</w:t>
      </w:r>
      <w:r>
        <w:rPr>
          <w:rFonts w:ascii="仿宋" w:hAnsi="仿宋" w:eastAsia="仿宋"/>
          <w:color w:val="000000"/>
          <w:sz w:val="32"/>
          <w:szCs w:val="32"/>
        </w:rPr>
        <w:t xml:space="preserve"> </w:t>
      </w:r>
    </w:p>
    <w:p>
      <w:pPr>
        <w:pStyle w:val="5"/>
        <w:numPr>
          <w:ilvl w:val="0"/>
          <w:numId w:val="1"/>
        </w:numPr>
        <w:adjustRightInd w:val="0"/>
        <w:snapToGrid w:val="0"/>
        <w:spacing w:before="93" w:line="600" w:lineRule="exact"/>
        <w:outlineLvl w:val="2"/>
        <w:rPr>
          <w:rFonts w:ascii="仿宋" w:hAnsi="仿宋" w:eastAsia="仿宋"/>
          <w:color w:val="000000"/>
          <w:sz w:val="32"/>
          <w:szCs w:val="32"/>
        </w:rPr>
      </w:pPr>
      <w:r>
        <w:rPr>
          <w:rFonts w:hint="eastAsia" w:ascii="Times New Roman"/>
          <w:sz w:val="32"/>
          <w:szCs w:val="32"/>
        </w:rPr>
        <w:t>仁和区最低生活保障局；</w:t>
      </w:r>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4" w:name="_Toc15378449"/>
      <w:bookmarkStart w:id="25" w:name="_Toc15377202"/>
      <w:bookmarkStart w:id="26" w:name="_Toc15377433"/>
      <w:bookmarkStart w:id="27" w:name="_Toc15306276"/>
      <w:r>
        <w:rPr>
          <w:rFonts w:hint="eastAsia" w:ascii="Times New Roman"/>
          <w:sz w:val="32"/>
          <w:szCs w:val="32"/>
        </w:rPr>
        <w:t>仁和区社会救助福利中心；</w:t>
      </w:r>
      <w:bookmarkEnd w:id="24"/>
      <w:bookmarkEnd w:id="25"/>
      <w:bookmarkEnd w:id="26"/>
      <w:bookmarkEnd w:id="27"/>
    </w:p>
    <w:p>
      <w:pPr>
        <w:pStyle w:val="5"/>
        <w:numPr>
          <w:ilvl w:val="0"/>
          <w:numId w:val="1"/>
        </w:numPr>
        <w:adjustRightInd w:val="0"/>
        <w:snapToGrid w:val="0"/>
        <w:spacing w:before="93" w:line="600" w:lineRule="exact"/>
        <w:outlineLvl w:val="2"/>
        <w:rPr>
          <w:rFonts w:ascii="仿宋" w:hAnsi="仿宋" w:eastAsia="仿宋"/>
          <w:color w:val="000000"/>
          <w:sz w:val="32"/>
          <w:szCs w:val="32"/>
        </w:rPr>
      </w:pPr>
      <w:bookmarkStart w:id="28" w:name="_Toc15377203"/>
      <w:bookmarkStart w:id="29" w:name="_Toc15306277"/>
      <w:bookmarkStart w:id="30" w:name="_Toc15377434"/>
      <w:bookmarkStart w:id="31" w:name="_Toc15378450"/>
      <w:r>
        <w:rPr>
          <w:rFonts w:hint="eastAsia" w:ascii="Times New Roman"/>
          <w:sz w:val="32"/>
          <w:szCs w:val="32"/>
        </w:rPr>
        <w:t>仁和区民政管理事务所</w:t>
      </w:r>
      <w:bookmarkEnd w:id="28"/>
      <w:bookmarkEnd w:id="29"/>
      <w:bookmarkEnd w:id="30"/>
      <w:bookmarkEnd w:id="31"/>
      <w:r>
        <w:rPr>
          <w:rFonts w:hint="eastAsia" w:ascii="仿宋" w:hAnsi="仿宋" w:eastAsia="仿宋"/>
          <w:sz w:val="32"/>
          <w:szCs w:val="32"/>
        </w:rPr>
        <w:t>。</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6"/>
          <w:rFonts w:ascii="黑体" w:hAnsi="黑体" w:eastAsia="黑体"/>
          <w:b w:val="0"/>
          <w:bCs w:val="0"/>
        </w:rPr>
      </w:pPr>
      <w:bookmarkStart w:id="32" w:name="_Toc15377204"/>
      <w:bookmarkStart w:id="33" w:name="_Toc15396602"/>
      <w:r>
        <w:rPr>
          <w:rFonts w:hint="eastAsia" w:ascii="黑体" w:hAnsi="黑体" w:eastAsia="黑体"/>
          <w:b w:val="0"/>
          <w:color w:val="000000"/>
        </w:rPr>
        <w:t>第二部分</w:t>
      </w:r>
      <w:r>
        <w:rPr>
          <w:rStyle w:val="16"/>
          <w:rFonts w:ascii="黑体" w:hAnsi="黑体" w:eastAsia="黑体"/>
          <w:b w:val="0"/>
          <w:bCs w:val="0"/>
        </w:rPr>
        <w:t>2018</w:t>
      </w:r>
      <w:r>
        <w:rPr>
          <w:rStyle w:val="16"/>
          <w:rFonts w:hint="eastAsia" w:ascii="黑体" w:hAnsi="黑体" w:eastAsia="黑体"/>
          <w:b w:val="0"/>
          <w:bCs w:val="0"/>
        </w:rPr>
        <w:t>年度部门决算情况说明</w:t>
      </w:r>
      <w:bookmarkEnd w:id="32"/>
      <w:bookmarkEnd w:id="33"/>
    </w:p>
    <w:p/>
    <w:p>
      <w:pPr>
        <w:pStyle w:val="26"/>
        <w:numPr>
          <w:ilvl w:val="0"/>
          <w:numId w:val="2"/>
        </w:numPr>
        <w:spacing w:line="600" w:lineRule="exact"/>
        <w:ind w:firstLineChars="0"/>
        <w:outlineLvl w:val="1"/>
        <w:rPr>
          <w:rStyle w:val="17"/>
          <w:rFonts w:ascii="黑体" w:hAnsi="黑体" w:eastAsia="黑体"/>
          <w:b w:val="0"/>
        </w:rPr>
      </w:pPr>
      <w:bookmarkStart w:id="34" w:name="_Toc15377205"/>
      <w:bookmarkStart w:id="35" w:name="_Toc15396603"/>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6731.48</w:t>
      </w:r>
      <w:r>
        <w:rPr>
          <w:rFonts w:hint="eastAsia" w:ascii="仿宋" w:hAnsi="仿宋" w:eastAsia="仿宋"/>
          <w:color w:val="000000"/>
          <w:sz w:val="32"/>
          <w:szCs w:val="32"/>
        </w:rPr>
        <w:t>万元，支出总计</w:t>
      </w:r>
      <w:r>
        <w:rPr>
          <w:rFonts w:ascii="仿宋" w:hAnsi="仿宋" w:eastAsia="仿宋"/>
          <w:color w:val="000000"/>
          <w:sz w:val="32"/>
          <w:szCs w:val="32"/>
        </w:rPr>
        <w:t>6793.51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年相比，收入总计增加</w:t>
      </w:r>
      <w:r>
        <w:rPr>
          <w:rFonts w:ascii="仿宋" w:hAnsi="仿宋" w:eastAsia="仿宋"/>
          <w:color w:val="000000"/>
          <w:sz w:val="32"/>
          <w:szCs w:val="32"/>
        </w:rPr>
        <w:t>134</w:t>
      </w:r>
      <w:r>
        <w:rPr>
          <w:rFonts w:hint="eastAsia" w:ascii="仿宋" w:hAnsi="仿宋" w:eastAsia="仿宋"/>
          <w:color w:val="000000"/>
          <w:sz w:val="32"/>
          <w:szCs w:val="32"/>
        </w:rPr>
        <w:t>万元，增长</w:t>
      </w:r>
      <w:r>
        <w:rPr>
          <w:rFonts w:ascii="仿宋" w:hAnsi="仿宋" w:eastAsia="仿宋"/>
          <w:color w:val="000000"/>
          <w:sz w:val="32"/>
          <w:szCs w:val="32"/>
        </w:rPr>
        <w:t>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年度基本持平；支出总计增加</w:t>
      </w:r>
      <w:r>
        <w:rPr>
          <w:rFonts w:ascii="仿宋" w:hAnsi="仿宋" w:eastAsia="仿宋"/>
          <w:color w:val="000000"/>
          <w:sz w:val="32"/>
          <w:szCs w:val="32"/>
        </w:rPr>
        <w:t>848.6</w:t>
      </w:r>
      <w:r>
        <w:rPr>
          <w:rFonts w:hint="eastAsia" w:ascii="仿宋" w:hAnsi="仿宋" w:eastAsia="仿宋"/>
          <w:color w:val="000000"/>
          <w:sz w:val="32"/>
          <w:szCs w:val="32"/>
        </w:rPr>
        <w:t>万元，增长</w:t>
      </w:r>
      <w:r>
        <w:rPr>
          <w:rFonts w:ascii="仿宋" w:hAnsi="仿宋" w:eastAsia="仿宋"/>
          <w:color w:val="000000"/>
          <w:sz w:val="32"/>
          <w:szCs w:val="32"/>
        </w:rPr>
        <w:t>14.27%</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26"/>
        <w:numPr>
          <w:ilvl w:val="0"/>
          <w:numId w:val="2"/>
        </w:numPr>
        <w:spacing w:line="600" w:lineRule="exact"/>
        <w:ind w:firstLineChars="0"/>
        <w:outlineLvl w:val="1"/>
        <w:rPr>
          <w:rStyle w:val="17"/>
          <w:rFonts w:ascii="黑体" w:hAnsi="黑体" w:eastAsia="黑体"/>
          <w:b w:val="0"/>
        </w:rPr>
      </w:pPr>
      <w:bookmarkStart w:id="36" w:name="_Toc15377206"/>
      <w:bookmarkStart w:id="37" w:name="_Toc15396604"/>
      <w:r>
        <w:rPr>
          <w:rFonts w:hint="eastAsia" w:ascii="黑体" w:hAnsi="黑体" w:eastAsia="黑体"/>
          <w:color w:val="000000"/>
          <w:sz w:val="32"/>
          <w:szCs w:val="32"/>
        </w:rPr>
        <w:t>收</w:t>
      </w:r>
      <w:r>
        <w:rPr>
          <w:rStyle w:val="17"/>
          <w:rFonts w:hint="eastAsia" w:ascii="黑体" w:hAnsi="黑体" w:eastAsia="黑体"/>
          <w:b w:val="0"/>
        </w:rPr>
        <w:t>入决算情况说明</w:t>
      </w:r>
      <w:bookmarkEnd w:id="36"/>
      <w:bookmarkEnd w:id="3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6731.48</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6054.82</w:t>
      </w:r>
      <w:r>
        <w:rPr>
          <w:rFonts w:hint="eastAsia" w:ascii="仿宋" w:hAnsi="仿宋" w:eastAsia="仿宋"/>
          <w:color w:val="000000"/>
          <w:sz w:val="32"/>
          <w:szCs w:val="32"/>
        </w:rPr>
        <w:t>万元，占</w:t>
      </w:r>
      <w:r>
        <w:rPr>
          <w:rFonts w:ascii="仿宋" w:hAnsi="仿宋" w:eastAsia="仿宋"/>
          <w:color w:val="000000"/>
          <w:sz w:val="32"/>
          <w:szCs w:val="32"/>
        </w:rPr>
        <w:t>89.95%</w:t>
      </w:r>
      <w:r>
        <w:rPr>
          <w:rFonts w:hint="eastAsia" w:ascii="仿宋" w:hAnsi="仿宋" w:eastAsia="仿宋"/>
          <w:color w:val="000000"/>
          <w:sz w:val="32"/>
          <w:szCs w:val="32"/>
        </w:rPr>
        <w:t>；政府性基金预算财政拨款收入</w:t>
      </w:r>
      <w:r>
        <w:rPr>
          <w:rFonts w:ascii="仿宋" w:hAnsi="仿宋" w:eastAsia="仿宋"/>
          <w:color w:val="000000"/>
          <w:sz w:val="32"/>
          <w:szCs w:val="32"/>
        </w:rPr>
        <w:t>676.66</w:t>
      </w:r>
      <w:r>
        <w:rPr>
          <w:rFonts w:hint="eastAsia" w:ascii="仿宋" w:hAnsi="仿宋" w:eastAsia="仿宋"/>
          <w:color w:val="000000"/>
          <w:sz w:val="32"/>
          <w:szCs w:val="32"/>
        </w:rPr>
        <w:t>万元，占</w:t>
      </w:r>
      <w:r>
        <w:rPr>
          <w:rFonts w:ascii="仿宋" w:hAnsi="仿宋" w:eastAsia="仿宋"/>
          <w:color w:val="000000"/>
          <w:sz w:val="32"/>
          <w:szCs w:val="32"/>
        </w:rPr>
        <w:t>10.05%</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26"/>
        <w:numPr>
          <w:ilvl w:val="0"/>
          <w:numId w:val="2"/>
        </w:numPr>
        <w:spacing w:line="600" w:lineRule="exact"/>
        <w:ind w:firstLineChars="0"/>
        <w:outlineLvl w:val="1"/>
        <w:rPr>
          <w:rStyle w:val="17"/>
          <w:rFonts w:ascii="黑体" w:hAnsi="黑体" w:eastAsia="黑体"/>
          <w:b w:val="0"/>
        </w:rPr>
      </w:pPr>
      <w:bookmarkStart w:id="38" w:name="_Toc15396605"/>
      <w:bookmarkStart w:id="39"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38"/>
      <w:bookmarkEnd w:id="3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6793.51</w:t>
      </w:r>
      <w:r>
        <w:rPr>
          <w:rFonts w:hint="eastAsia" w:ascii="仿宋" w:hAnsi="仿宋" w:eastAsia="仿宋"/>
          <w:color w:val="000000"/>
          <w:sz w:val="32"/>
          <w:szCs w:val="32"/>
        </w:rPr>
        <w:t>万元，其中：基本支出</w:t>
      </w:r>
      <w:r>
        <w:rPr>
          <w:rFonts w:ascii="仿宋" w:hAnsi="仿宋" w:eastAsia="仿宋"/>
          <w:color w:val="000000"/>
          <w:sz w:val="32"/>
          <w:szCs w:val="32"/>
        </w:rPr>
        <w:t>378.24</w:t>
      </w:r>
      <w:r>
        <w:rPr>
          <w:rFonts w:hint="eastAsia" w:ascii="仿宋" w:hAnsi="仿宋" w:eastAsia="仿宋"/>
          <w:color w:val="000000"/>
          <w:sz w:val="32"/>
          <w:szCs w:val="32"/>
        </w:rPr>
        <w:t>万元，占</w:t>
      </w:r>
      <w:r>
        <w:rPr>
          <w:rFonts w:ascii="仿宋" w:hAnsi="仿宋" w:eastAsia="仿宋"/>
          <w:color w:val="000000"/>
          <w:sz w:val="32"/>
          <w:szCs w:val="32"/>
        </w:rPr>
        <w:t>5.6%</w:t>
      </w:r>
      <w:r>
        <w:rPr>
          <w:rFonts w:hint="eastAsia" w:ascii="仿宋" w:hAnsi="仿宋" w:eastAsia="仿宋"/>
          <w:color w:val="000000"/>
          <w:sz w:val="32"/>
          <w:szCs w:val="32"/>
        </w:rPr>
        <w:t>；项目支出</w:t>
      </w:r>
      <w:r>
        <w:rPr>
          <w:rFonts w:ascii="仿宋" w:hAnsi="仿宋" w:eastAsia="仿宋"/>
          <w:color w:val="000000"/>
          <w:sz w:val="32"/>
          <w:szCs w:val="32"/>
        </w:rPr>
        <w:t>6415.27</w:t>
      </w:r>
      <w:r>
        <w:rPr>
          <w:rFonts w:hint="eastAsia" w:ascii="仿宋" w:hAnsi="仿宋" w:eastAsia="仿宋"/>
          <w:color w:val="000000"/>
          <w:sz w:val="32"/>
          <w:szCs w:val="32"/>
        </w:rPr>
        <w:t>万元，占</w:t>
      </w:r>
      <w:r>
        <w:rPr>
          <w:rFonts w:ascii="仿宋" w:hAnsi="仿宋" w:eastAsia="仿宋"/>
          <w:color w:val="000000"/>
          <w:sz w:val="32"/>
          <w:szCs w:val="32"/>
        </w:rPr>
        <w:t>94.4%</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spacing w:line="600" w:lineRule="exact"/>
        <w:ind w:firstLine="640" w:firstLineChars="200"/>
        <w:outlineLvl w:val="1"/>
        <w:rPr>
          <w:rStyle w:val="17"/>
          <w:rFonts w:ascii="黑体" w:hAnsi="黑体" w:eastAsia="黑体"/>
          <w:b w:val="0"/>
        </w:rPr>
      </w:pPr>
      <w:bookmarkStart w:id="40" w:name="_Toc15396606"/>
      <w:bookmarkStart w:id="41" w:name="_Toc15377208"/>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40"/>
      <w:bookmarkEnd w:id="4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6731.48</w:t>
      </w:r>
      <w:r>
        <w:rPr>
          <w:rFonts w:hint="eastAsia" w:ascii="仿宋" w:hAnsi="仿宋" w:eastAsia="仿宋"/>
          <w:color w:val="000000"/>
          <w:sz w:val="32"/>
          <w:szCs w:val="32"/>
        </w:rPr>
        <w:t>万元，支出总计</w:t>
      </w:r>
      <w:r>
        <w:rPr>
          <w:rFonts w:ascii="仿宋" w:hAnsi="仿宋" w:eastAsia="仿宋"/>
          <w:color w:val="000000"/>
          <w:sz w:val="32"/>
          <w:szCs w:val="32"/>
        </w:rPr>
        <w:t>6793.51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年相比，收入总计增加</w:t>
      </w:r>
      <w:r>
        <w:rPr>
          <w:rFonts w:ascii="仿宋" w:hAnsi="仿宋" w:eastAsia="仿宋"/>
          <w:color w:val="000000"/>
          <w:sz w:val="32"/>
          <w:szCs w:val="32"/>
        </w:rPr>
        <w:t>134</w:t>
      </w:r>
      <w:r>
        <w:rPr>
          <w:rFonts w:hint="eastAsia" w:ascii="仿宋" w:hAnsi="仿宋" w:eastAsia="仿宋"/>
          <w:color w:val="000000"/>
          <w:sz w:val="32"/>
          <w:szCs w:val="32"/>
        </w:rPr>
        <w:t>万元，增长</w:t>
      </w:r>
      <w:r>
        <w:rPr>
          <w:rFonts w:ascii="仿宋" w:hAnsi="仿宋" w:eastAsia="仿宋"/>
          <w:color w:val="000000"/>
          <w:sz w:val="32"/>
          <w:szCs w:val="32"/>
        </w:rPr>
        <w:t>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年度基本持平；支出总计增加</w:t>
      </w:r>
      <w:r>
        <w:rPr>
          <w:rFonts w:ascii="仿宋" w:hAnsi="仿宋" w:eastAsia="仿宋"/>
          <w:color w:val="000000"/>
          <w:sz w:val="32"/>
          <w:szCs w:val="32"/>
        </w:rPr>
        <w:t>848.6</w:t>
      </w:r>
      <w:r>
        <w:rPr>
          <w:rFonts w:hint="eastAsia" w:ascii="仿宋" w:hAnsi="仿宋" w:eastAsia="仿宋"/>
          <w:color w:val="000000"/>
          <w:sz w:val="32"/>
          <w:szCs w:val="32"/>
        </w:rPr>
        <w:t>万元，增长</w:t>
      </w:r>
      <w:r>
        <w:rPr>
          <w:rFonts w:ascii="仿宋" w:hAnsi="仿宋" w:eastAsia="仿宋"/>
          <w:color w:val="000000"/>
          <w:sz w:val="32"/>
          <w:szCs w:val="32"/>
        </w:rPr>
        <w:t>14.27%</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（除国有资本经营预算外，数据来源于财决</w:t>
      </w:r>
      <w:r>
        <w:rPr>
          <w:rFonts w:ascii="仿宋" w:hAnsi="仿宋" w:eastAsia="仿宋"/>
          <w:b/>
          <w:color w:val="000000"/>
          <w:sz w:val="32"/>
          <w:szCs w:val="32"/>
        </w:rPr>
        <w:t>Z01-1</w:t>
      </w:r>
      <w:r>
        <w:rPr>
          <w:rFonts w:hint="eastAsia" w:ascii="仿宋" w:hAnsi="仿宋" w:eastAsia="仿宋"/>
          <w:b/>
          <w:color w:val="000000"/>
          <w:sz w:val="32"/>
          <w:szCs w:val="32"/>
        </w:rPr>
        <w:t>表，口径为“总计”数</w:t>
      </w:r>
      <w:r>
        <w:rPr>
          <w:rFonts w:ascii="仿宋" w:hAnsi="仿宋" w:eastAsia="仿宋"/>
          <w:b/>
          <w:color w:val="000000"/>
          <w:sz w:val="32"/>
          <w:szCs w:val="32"/>
        </w:rPr>
        <w:t>+</w:t>
      </w:r>
      <w:r>
        <w:rPr>
          <w:rFonts w:hint="eastAsia" w:ascii="仿宋" w:hAnsi="仿宋" w:eastAsia="仿宋"/>
          <w:b/>
          <w:color w:val="000000"/>
          <w:sz w:val="32"/>
          <w:szCs w:val="32"/>
        </w:rPr>
        <w:t>国有资本经营预算。）</w:t>
      </w:r>
    </w:p>
    <w:p>
      <w:pPr>
        <w:spacing w:line="600" w:lineRule="exact"/>
        <w:ind w:firstLine="640" w:firstLineChars="200"/>
        <w:outlineLvl w:val="1"/>
        <w:rPr>
          <w:rStyle w:val="17"/>
          <w:rFonts w:ascii="黑体" w:hAnsi="黑体" w:eastAsia="黑体"/>
          <w:b w:val="0"/>
        </w:rPr>
      </w:pPr>
      <w:bookmarkStart w:id="42" w:name="_Toc15377209"/>
      <w:bookmarkStart w:id="4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42"/>
      <w:bookmarkEnd w:id="43"/>
    </w:p>
    <w:p>
      <w:pPr>
        <w:spacing w:line="600" w:lineRule="exact"/>
        <w:ind w:firstLine="643" w:firstLineChars="200"/>
        <w:outlineLvl w:val="2"/>
        <w:rPr>
          <w:rFonts w:ascii="仿宋" w:hAnsi="仿宋" w:eastAsia="仿宋"/>
          <w:b/>
          <w:color w:val="000000"/>
          <w:sz w:val="32"/>
          <w:szCs w:val="32"/>
        </w:rPr>
      </w:pPr>
      <w:bookmarkStart w:id="44" w:name="_Toc15377210"/>
      <w:r>
        <w:rPr>
          <w:rFonts w:hint="eastAsia" w:ascii="仿宋" w:hAnsi="仿宋" w:eastAsia="仿宋"/>
          <w:b/>
          <w:color w:val="000000"/>
          <w:sz w:val="32"/>
          <w:szCs w:val="32"/>
        </w:rPr>
        <w:t>（一）一般公共预算财政拨款支出决算总体情况</w:t>
      </w:r>
      <w:bookmarkEnd w:id="4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6265.18</w:t>
      </w:r>
      <w:r>
        <w:rPr>
          <w:rFonts w:hint="eastAsia" w:ascii="仿宋" w:hAnsi="仿宋" w:eastAsia="仿宋"/>
          <w:color w:val="000000"/>
          <w:sz w:val="32"/>
          <w:szCs w:val="32"/>
        </w:rPr>
        <w:t>万元，占本年支出合计的</w:t>
      </w:r>
      <w:r>
        <w:rPr>
          <w:rFonts w:ascii="仿宋" w:hAnsi="仿宋" w:eastAsia="仿宋"/>
          <w:color w:val="000000"/>
          <w:sz w:val="32"/>
          <w:szCs w:val="32"/>
        </w:rPr>
        <w:t>92.22%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810.68</w:t>
      </w:r>
      <w:r>
        <w:rPr>
          <w:rFonts w:hint="eastAsia" w:ascii="仿宋" w:hAnsi="仿宋" w:eastAsia="仿宋"/>
          <w:color w:val="000000"/>
          <w:sz w:val="32"/>
          <w:szCs w:val="32"/>
        </w:rPr>
        <w:t>万元，增长</w:t>
      </w:r>
      <w:r>
        <w:rPr>
          <w:rFonts w:ascii="仿宋" w:hAnsi="仿宋" w:eastAsia="仿宋"/>
          <w:color w:val="000000"/>
          <w:sz w:val="32"/>
          <w:szCs w:val="32"/>
        </w:rPr>
        <w:t>14.86%</w:t>
      </w:r>
      <w:r>
        <w:rPr>
          <w:rFonts w:hint="eastAsia" w:ascii="仿宋" w:hAnsi="仿宋" w:eastAsia="仿宋"/>
          <w:color w:val="000000"/>
          <w:sz w:val="32"/>
          <w:szCs w:val="32"/>
        </w:rPr>
        <w:t>。主要变动原因是社会救助标准提档。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spacing w:line="600" w:lineRule="exact"/>
        <w:ind w:firstLine="643" w:firstLineChars="200"/>
        <w:outlineLvl w:val="2"/>
        <w:rPr>
          <w:rFonts w:ascii="仿宋" w:hAnsi="仿宋" w:eastAsia="仿宋"/>
          <w:b/>
          <w:color w:val="000000"/>
          <w:sz w:val="32"/>
          <w:szCs w:val="32"/>
        </w:rPr>
      </w:pPr>
      <w:bookmarkStart w:id="45" w:name="_Toc15377211"/>
      <w:r>
        <w:rPr>
          <w:rFonts w:hint="eastAsia" w:ascii="仿宋" w:hAnsi="仿宋" w:eastAsia="仿宋"/>
          <w:b/>
          <w:color w:val="000000"/>
          <w:sz w:val="32"/>
          <w:szCs w:val="32"/>
        </w:rPr>
        <w:t>（二）一般公共预算财政拨款支出决算结构情况</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6265.18</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教育支出（类）</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科学技术（类）</w:t>
      </w:r>
      <w:r>
        <w:rPr>
          <w:rFonts w:hint="eastAsia" w:ascii="仿宋" w:hAnsi="仿宋" w:eastAsia="仿宋"/>
          <w:color w:val="000000"/>
          <w:sz w:val="32"/>
          <w:szCs w:val="32"/>
        </w:rPr>
        <w:t>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5835.33</w:t>
      </w:r>
      <w:r>
        <w:rPr>
          <w:rFonts w:hint="eastAsia" w:ascii="仿宋" w:hAnsi="仿宋" w:eastAsia="仿宋"/>
          <w:color w:val="000000"/>
          <w:sz w:val="32"/>
          <w:szCs w:val="32"/>
        </w:rPr>
        <w:t>万元，占</w:t>
      </w:r>
      <w:r>
        <w:rPr>
          <w:rFonts w:ascii="仿宋" w:hAnsi="仿宋" w:eastAsia="仿宋"/>
          <w:color w:val="000000"/>
          <w:sz w:val="32"/>
          <w:szCs w:val="32"/>
        </w:rPr>
        <w:t>93.14%</w:t>
      </w:r>
      <w:r>
        <w:rPr>
          <w:rFonts w:hint="eastAsia" w:ascii="仿宋" w:hAnsi="仿宋" w:eastAsia="仿宋"/>
          <w:color w:val="000000"/>
          <w:sz w:val="32"/>
          <w:szCs w:val="32"/>
        </w:rPr>
        <w:t>；医疗卫生支出</w:t>
      </w:r>
      <w:r>
        <w:rPr>
          <w:rFonts w:ascii="仿宋" w:hAnsi="仿宋" w:eastAsia="仿宋"/>
          <w:color w:val="000000"/>
          <w:sz w:val="32"/>
          <w:szCs w:val="32"/>
        </w:rPr>
        <w:t>395.24</w:t>
      </w:r>
      <w:r>
        <w:rPr>
          <w:rFonts w:hint="eastAsia" w:ascii="仿宋" w:hAnsi="仿宋" w:eastAsia="仿宋"/>
          <w:color w:val="000000"/>
          <w:sz w:val="32"/>
          <w:szCs w:val="32"/>
        </w:rPr>
        <w:t>万元，占</w:t>
      </w:r>
      <w:r>
        <w:rPr>
          <w:rFonts w:ascii="仿宋" w:hAnsi="仿宋" w:eastAsia="仿宋"/>
          <w:color w:val="000000"/>
          <w:sz w:val="32"/>
          <w:szCs w:val="32"/>
        </w:rPr>
        <w:t>6.3%</w:t>
      </w:r>
      <w:r>
        <w:rPr>
          <w:rFonts w:hint="eastAsia" w:ascii="仿宋" w:hAnsi="仿宋" w:eastAsia="仿宋"/>
          <w:color w:val="000000"/>
          <w:sz w:val="32"/>
          <w:szCs w:val="32"/>
        </w:rPr>
        <w:t>；住房保障支出</w:t>
      </w:r>
      <w:r>
        <w:rPr>
          <w:rFonts w:ascii="仿宋" w:hAnsi="仿宋" w:eastAsia="仿宋"/>
          <w:color w:val="000000"/>
          <w:sz w:val="32"/>
          <w:szCs w:val="32"/>
        </w:rPr>
        <w:t>34.6</w:t>
      </w:r>
      <w:r>
        <w:rPr>
          <w:rFonts w:hint="eastAsia" w:ascii="仿宋" w:hAnsi="仿宋" w:eastAsia="仿宋"/>
          <w:color w:val="000000"/>
          <w:sz w:val="32"/>
          <w:szCs w:val="32"/>
        </w:rPr>
        <w:t>万元，占</w:t>
      </w:r>
      <w:r>
        <w:rPr>
          <w:rFonts w:ascii="仿宋" w:hAnsi="仿宋" w:eastAsia="仿宋"/>
          <w:color w:val="000000"/>
          <w:sz w:val="32"/>
          <w:szCs w:val="32"/>
        </w:rPr>
        <w:t xml:space="preserve">0.6 </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3" w:firstLineChars="200"/>
        <w:outlineLvl w:val="2"/>
        <w:rPr>
          <w:rFonts w:ascii="仿宋" w:hAnsi="仿宋" w:eastAsia="仿宋"/>
          <w:b/>
          <w:color w:val="000000"/>
          <w:sz w:val="32"/>
          <w:szCs w:val="32"/>
        </w:rPr>
      </w:pPr>
      <w:bookmarkStart w:id="46" w:name="_Toc15377212"/>
      <w:r>
        <w:rPr>
          <w:rFonts w:hint="eastAsia" w:ascii="仿宋" w:hAnsi="仿宋" w:eastAsia="仿宋"/>
          <w:b/>
          <w:color w:val="000000"/>
          <w:sz w:val="32"/>
          <w:szCs w:val="32"/>
        </w:rPr>
        <w:t>（三）一般公共预算财政拨款支出决算具体情况</w:t>
      </w:r>
      <w:bookmarkEnd w:id="46"/>
    </w:p>
    <w:p>
      <w:pPr>
        <w:spacing w:line="600" w:lineRule="exact"/>
        <w:ind w:firstLine="643" w:firstLineChars="200"/>
        <w:outlineLvl w:val="2"/>
        <w:rPr>
          <w:rFonts w:ascii="仿宋" w:hAnsi="仿宋" w:eastAsia="仿宋"/>
          <w:color w:val="FF0000"/>
          <w:sz w:val="32"/>
          <w:szCs w:val="32"/>
        </w:rPr>
      </w:pPr>
      <w:bookmarkStart w:id="47" w:name="_Toc15378460"/>
      <w:bookmarkStart w:id="48" w:name="_Toc15377444"/>
      <w:bookmarkStart w:id="49" w:name="_Toc15377213"/>
      <w:r>
        <w:rPr>
          <w:rFonts w:ascii="仿宋" w:hAnsi="仿宋" w:eastAsia="仿宋"/>
          <w:b/>
          <w:color w:val="000000"/>
          <w:sz w:val="32"/>
          <w:szCs w:val="32"/>
        </w:rPr>
        <w:t>2018</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6265.18</w:t>
      </w:r>
      <w:r>
        <w:rPr>
          <w:rFonts w:hint="eastAsia" w:ascii="仿宋" w:hAnsi="仿宋" w:eastAsia="仿宋"/>
          <w:color w:val="000000"/>
          <w:sz w:val="32"/>
          <w:szCs w:val="32"/>
        </w:rPr>
        <w:t>，</w:t>
      </w:r>
      <w:r>
        <w:rPr>
          <w:rStyle w:val="14"/>
          <w:rFonts w:hint="eastAsia" w:ascii="仿宋" w:hAnsi="仿宋" w:eastAsia="仿宋"/>
          <w:bCs/>
          <w:color w:val="000000"/>
          <w:sz w:val="32"/>
          <w:szCs w:val="32"/>
        </w:rPr>
        <w:t>完成预算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47"/>
      <w:bookmarkEnd w:id="48"/>
      <w:bookmarkEnd w:id="49"/>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教育（类）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科学技术（类）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文化体育与传媒（类）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，决算数小于</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等于预算数的主要原因是…。</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5835.33</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6.</w:t>
      </w:r>
      <w:r>
        <w:rPr>
          <w:rStyle w:val="14"/>
          <w:rFonts w:hint="eastAsia" w:ascii="仿宋" w:hAnsi="仿宋" w:eastAsia="仿宋"/>
          <w:bCs/>
          <w:color w:val="000000"/>
          <w:sz w:val="32"/>
          <w:szCs w:val="32"/>
        </w:rPr>
        <w:t>医疗卫生与计划生育（类）</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（款）</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w:t>
      </w:r>
      <w:r>
        <w:rPr>
          <w:rFonts w:ascii="仿宋" w:hAnsi="仿宋" w:eastAsia="仿宋"/>
          <w:color w:val="000000"/>
          <w:sz w:val="32"/>
          <w:szCs w:val="32"/>
        </w:rPr>
        <w:t>395.24</w:t>
      </w:r>
      <w:r>
        <w:rPr>
          <w:rStyle w:val="14"/>
          <w:rFonts w:hint="eastAsia" w:ascii="仿宋" w:hAnsi="仿宋" w:eastAsia="仿宋"/>
          <w:b w:val="0"/>
          <w:bCs/>
          <w:color w:val="000000"/>
          <w:sz w:val="32"/>
          <w:szCs w:val="32"/>
        </w:rPr>
        <w:t>万元，完成预算</w:t>
      </w:r>
      <w:r>
        <w:rPr>
          <w:rStyle w:val="14"/>
          <w:rFonts w:ascii="仿宋" w:hAnsi="仿宋" w:eastAsia="仿宋"/>
          <w:b w:val="0"/>
          <w:bCs/>
          <w:color w:val="000000"/>
          <w:sz w:val="32"/>
          <w:szCs w:val="32"/>
        </w:rPr>
        <w:t>100%</w:t>
      </w:r>
      <w:r>
        <w:rPr>
          <w:rStyle w:val="14"/>
          <w:rFonts w:hint="eastAsia" w:ascii="仿宋" w:hAnsi="仿宋" w:eastAsia="仿宋"/>
          <w:b w:val="0"/>
          <w:bCs/>
          <w:color w:val="000000"/>
          <w:sz w:val="32"/>
          <w:szCs w:val="32"/>
        </w:rPr>
        <w:t>，决算数等于预算数。</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08</w:t>
      </w:r>
      <w:r>
        <w:rPr>
          <w:rFonts w:hint="eastAsia" w:ascii="仿宋" w:hAnsi="仿宋" w:eastAsia="仿宋"/>
          <w:b/>
          <w:color w:val="000000"/>
          <w:sz w:val="32"/>
          <w:szCs w:val="32"/>
        </w:rPr>
        <w:t>表，罗列全部功能分类科目至项级。上述“预算”口径为调整预算数。增减变动原因为决算数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和调整预算数</w:t>
      </w:r>
      <w:r>
        <w:rPr>
          <w:rFonts w:ascii="仿宋" w:hAnsi="仿宋" w:eastAsia="仿宋"/>
          <w:b/>
          <w:color w:val="000000"/>
          <w:sz w:val="32"/>
          <w:szCs w:val="32"/>
        </w:rPr>
        <w:t>&lt;</w:t>
      </w:r>
      <w:r>
        <w:rPr>
          <w:rFonts w:hint="eastAsia" w:ascii="仿宋" w:hAnsi="仿宋" w:eastAsia="仿宋"/>
          <w:b/>
          <w:color w:val="000000"/>
          <w:sz w:val="32"/>
          <w:szCs w:val="32"/>
        </w:rPr>
        <w:t>项级</w:t>
      </w:r>
      <w:r>
        <w:rPr>
          <w:rFonts w:ascii="仿宋" w:hAnsi="仿宋" w:eastAsia="仿宋"/>
          <w:b/>
          <w:color w:val="000000"/>
          <w:sz w:val="32"/>
          <w:szCs w:val="32"/>
        </w:rPr>
        <w:t>&gt;</w:t>
      </w:r>
      <w:r>
        <w:rPr>
          <w:rFonts w:hint="eastAsia" w:ascii="仿宋" w:hAnsi="仿宋" w:eastAsia="仿宋"/>
          <w:b/>
          <w:color w:val="000000"/>
          <w:sz w:val="32"/>
          <w:szCs w:val="32"/>
        </w:rPr>
        <w:t>比较，与预算数持平可以不写原因。）</w:t>
      </w:r>
    </w:p>
    <w:p>
      <w:pPr>
        <w:tabs>
          <w:tab w:val="right" w:pos="8306"/>
        </w:tabs>
        <w:spacing w:line="600" w:lineRule="exact"/>
        <w:ind w:firstLine="640"/>
        <w:outlineLvl w:val="1"/>
        <w:rPr>
          <w:rStyle w:val="17"/>
        </w:rPr>
      </w:pPr>
      <w:bookmarkStart w:id="50" w:name="_Toc15377214"/>
      <w:bookmarkStart w:id="5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50"/>
      <w:bookmarkEnd w:id="51"/>
      <w:r>
        <w:rPr>
          <w:rStyle w:val="1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378.24</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335.51</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42.73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07</w:t>
      </w:r>
      <w:r>
        <w:rPr>
          <w:rFonts w:hint="eastAsia" w:ascii="仿宋" w:hAnsi="仿宋" w:eastAsia="仿宋"/>
          <w:b/>
          <w:color w:val="000000"/>
          <w:sz w:val="32"/>
          <w:szCs w:val="32"/>
        </w:rPr>
        <w:t>表，根据本部门实际支出情况罗列全部经济分类科目。）</w:t>
      </w:r>
    </w:p>
    <w:p>
      <w:pPr>
        <w:spacing w:line="600" w:lineRule="exact"/>
        <w:ind w:firstLine="640"/>
        <w:outlineLvl w:val="1"/>
        <w:rPr>
          <w:rStyle w:val="17"/>
          <w:rFonts w:ascii="黑体" w:hAnsi="黑体" w:eastAsia="黑体"/>
          <w:b w:val="0"/>
        </w:rPr>
      </w:pPr>
      <w:bookmarkStart w:id="52" w:name="_Toc15396609"/>
      <w:bookmarkStart w:id="53" w:name="_Toc15377215"/>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52"/>
      <w:bookmarkEnd w:id="53"/>
    </w:p>
    <w:p>
      <w:pPr>
        <w:spacing w:line="600" w:lineRule="exact"/>
        <w:ind w:firstLine="640"/>
        <w:outlineLvl w:val="2"/>
        <w:rPr>
          <w:rFonts w:ascii="仿宋" w:hAnsi="仿宋" w:eastAsia="仿宋"/>
          <w:b/>
          <w:color w:val="000000"/>
          <w:sz w:val="32"/>
          <w:szCs w:val="32"/>
        </w:rPr>
      </w:pPr>
      <w:bookmarkStart w:id="54" w:name="_Toc15377216"/>
      <w:r>
        <w:rPr>
          <w:rFonts w:hint="eastAsia" w:ascii="仿宋" w:hAnsi="仿宋" w:eastAsia="仿宋"/>
          <w:b/>
          <w:color w:val="000000"/>
          <w:sz w:val="32"/>
          <w:szCs w:val="32"/>
        </w:rPr>
        <w:t>（一）“三公”经费财政拨款支出决算总体情况说明</w:t>
      </w:r>
      <w:bookmarkEnd w:id="5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8.64</w:t>
      </w:r>
      <w:r>
        <w:rPr>
          <w:rFonts w:hint="eastAsia" w:ascii="仿宋" w:hAnsi="仿宋" w:eastAsia="仿宋"/>
          <w:color w:val="000000"/>
          <w:sz w:val="32"/>
          <w:szCs w:val="32"/>
        </w:rPr>
        <w:t>万元，完成预算</w:t>
      </w:r>
      <w:r>
        <w:rPr>
          <w:rFonts w:ascii="仿宋" w:hAnsi="仿宋" w:eastAsia="仿宋"/>
          <w:color w:val="000000"/>
          <w:sz w:val="32"/>
          <w:szCs w:val="32"/>
        </w:rPr>
        <w:t>57.6%</w:t>
      </w:r>
      <w:r>
        <w:rPr>
          <w:rFonts w:hint="eastAsia" w:ascii="仿宋" w:hAnsi="仿宋" w:eastAsia="仿宋"/>
          <w:color w:val="000000"/>
          <w:sz w:val="32"/>
          <w:szCs w:val="32"/>
        </w:rPr>
        <w:t>，决算数小于预算数的主要原因是严格公车管理、公务接待审批，控制“三公”经费支出。</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55" w:name="_Toc15377217"/>
      <w:r>
        <w:rPr>
          <w:rFonts w:hint="eastAsia" w:ascii="仿宋" w:hAnsi="仿宋" w:eastAsia="仿宋"/>
          <w:b/>
          <w:color w:val="000000"/>
          <w:sz w:val="32"/>
          <w:szCs w:val="32"/>
        </w:rPr>
        <w:t>（二）“三公”经费财政拨款支出决算具体情况说明</w:t>
      </w:r>
      <w:bookmarkEnd w:id="5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7.74</w:t>
      </w:r>
      <w:r>
        <w:rPr>
          <w:rFonts w:hint="eastAsia" w:ascii="仿宋" w:hAnsi="仿宋" w:eastAsia="仿宋"/>
          <w:color w:val="000000"/>
          <w:sz w:val="32"/>
          <w:szCs w:val="32"/>
        </w:rPr>
        <w:t>万元，占</w:t>
      </w:r>
      <w:r>
        <w:rPr>
          <w:rFonts w:ascii="仿宋" w:hAnsi="仿宋" w:eastAsia="仿宋"/>
          <w:color w:val="000000"/>
          <w:sz w:val="32"/>
          <w:szCs w:val="32"/>
        </w:rPr>
        <w:t>89.17%</w:t>
      </w:r>
      <w:r>
        <w:rPr>
          <w:rFonts w:hint="eastAsia" w:ascii="仿宋" w:hAnsi="仿宋" w:eastAsia="仿宋"/>
          <w:color w:val="000000"/>
          <w:sz w:val="32"/>
          <w:szCs w:val="32"/>
        </w:rPr>
        <w:t>；公务接待费支出决算</w:t>
      </w:r>
      <w:r>
        <w:rPr>
          <w:rFonts w:ascii="仿宋" w:hAnsi="仿宋" w:eastAsia="仿宋"/>
          <w:color w:val="000000"/>
          <w:sz w:val="32"/>
          <w:szCs w:val="32"/>
        </w:rPr>
        <w:t>0.9</w:t>
      </w:r>
      <w:r>
        <w:rPr>
          <w:rFonts w:hint="eastAsia" w:ascii="仿宋" w:hAnsi="仿宋" w:eastAsia="仿宋"/>
          <w:color w:val="000000"/>
          <w:sz w:val="32"/>
          <w:szCs w:val="32"/>
        </w:rPr>
        <w:t>万元，占</w:t>
      </w:r>
      <w:r>
        <w:rPr>
          <w:rFonts w:ascii="仿宋" w:hAnsi="仿宋" w:eastAsia="仿宋"/>
          <w:color w:val="000000"/>
          <w:sz w:val="32"/>
          <w:szCs w:val="32"/>
        </w:rPr>
        <w:t>10.83%</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8</w:t>
      </w:r>
      <w:r>
        <w:rPr>
          <w:rFonts w:hint="eastAsia" w:ascii="仿宋" w:hAnsi="仿宋" w:eastAsia="仿宋"/>
          <w:color w:val="000000"/>
          <w:sz w:val="32"/>
          <w:szCs w:val="32"/>
        </w:rPr>
        <w:t>：“三公”经费财政拨款支出结构）（饼状图）</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color w:val="000000"/>
          <w:sz w:val="32"/>
          <w:szCs w:val="32"/>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ascii="仿宋_GB2312" w:eastAsia="仿宋_GB2312"/>
          <w:color w:val="000000"/>
          <w:sz w:val="32"/>
          <w:szCs w:val="32"/>
        </w:rPr>
        <w:t>0</w:t>
      </w:r>
      <w:r>
        <w:rPr>
          <w:rFonts w:hint="eastAsia" w:ascii="仿宋_GB2312" w:eastAsia="仿宋_GB2312"/>
          <w:color w:val="000000"/>
          <w:sz w:val="32"/>
          <w:szCs w:val="32"/>
        </w:rPr>
        <w:t>次，出国（境）</w:t>
      </w:r>
      <w:r>
        <w:rPr>
          <w:rFonts w:ascii="仿宋_GB2312" w:eastAsia="仿宋_GB2312"/>
          <w:color w:val="000000"/>
          <w:sz w:val="32"/>
          <w:szCs w:val="32"/>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2017</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ascii="仿宋_GB2312" w:eastAsia="仿宋_GB2312"/>
          <w:color w:val="000000"/>
          <w:sz w:val="32"/>
          <w:szCs w:val="32"/>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ascii="仿宋_GB2312" w:eastAsia="仿宋_GB2312"/>
          <w:color w:val="000000"/>
          <w:sz w:val="32"/>
          <w:szCs w:val="32"/>
        </w:rPr>
        <w:t>0%</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7.74</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64.5%</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4.25</w:t>
      </w:r>
      <w:r>
        <w:rPr>
          <w:rFonts w:hint="eastAsia" w:ascii="仿宋_GB2312" w:eastAsia="仿宋_GB2312"/>
          <w:color w:val="000000"/>
          <w:sz w:val="32"/>
          <w:szCs w:val="32"/>
        </w:rPr>
        <w:t>万元，下降</w:t>
      </w:r>
      <w:r>
        <w:rPr>
          <w:rFonts w:ascii="仿宋_GB2312" w:eastAsia="仿宋_GB2312"/>
          <w:color w:val="000000"/>
          <w:sz w:val="32"/>
          <w:szCs w:val="32"/>
        </w:rPr>
        <w:t>35.45%</w:t>
      </w:r>
      <w:r>
        <w:rPr>
          <w:rFonts w:hint="eastAsia" w:ascii="仿宋_GB2312" w:eastAsia="仿宋_GB2312"/>
          <w:color w:val="000000"/>
          <w:sz w:val="32"/>
          <w:szCs w:val="32"/>
        </w:rPr>
        <w:t>。主要原因是严格公车管理，缩减开支。</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ascii="仿宋_GB2312" w:eastAsia="仿宋_GB2312"/>
          <w:color w:val="000000"/>
          <w:sz w:val="32"/>
          <w:szCs w:val="32"/>
        </w:rPr>
        <w:t>0</w:t>
      </w:r>
      <w:r>
        <w:rPr>
          <w:rFonts w:hint="eastAsia" w:ascii="仿宋_GB2312" w:eastAsia="仿宋_GB2312"/>
          <w:color w:val="000000"/>
          <w:sz w:val="32"/>
          <w:szCs w:val="32"/>
        </w:rPr>
        <w:t>万元。全年按规定更新购置公务用车</w:t>
      </w:r>
      <w:r>
        <w:rPr>
          <w:rFonts w:ascii="仿宋_GB2312" w:eastAsia="仿宋_GB2312"/>
          <w:color w:val="000000"/>
          <w:sz w:val="32"/>
          <w:szCs w:val="32"/>
        </w:rPr>
        <w:t>0</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万元，越野车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万元，载客汽车</w:t>
      </w:r>
      <w:r>
        <w:rPr>
          <w:rFonts w:ascii="仿宋_GB2312" w:eastAsia="仿宋_GB2312"/>
          <w:color w:val="000000"/>
          <w:sz w:val="32"/>
          <w:szCs w:val="32"/>
        </w:rPr>
        <w:t>0</w:t>
      </w:r>
      <w:r>
        <w:rPr>
          <w:rFonts w:hint="eastAsia" w:ascii="仿宋_GB2312" w:eastAsia="仿宋_GB2312"/>
          <w:color w:val="000000"/>
          <w:sz w:val="32"/>
          <w:szCs w:val="32"/>
        </w:rPr>
        <w:t>辆、金额</w:t>
      </w:r>
      <w:r>
        <w:rPr>
          <w:rFonts w:ascii="仿宋_GB2312" w:eastAsia="仿宋_GB2312"/>
          <w:color w:val="000000"/>
          <w:sz w:val="32"/>
          <w:szCs w:val="32"/>
        </w:rPr>
        <w:t>0</w:t>
      </w:r>
      <w:r>
        <w:rPr>
          <w:rFonts w:hint="eastAsia" w:ascii="仿宋_GB2312" w:eastAsia="仿宋_GB2312"/>
          <w:color w:val="000000"/>
          <w:sz w:val="32"/>
          <w:szCs w:val="32"/>
        </w:rPr>
        <w:t>万元，主要用于…。截至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1</w:t>
      </w:r>
      <w:r>
        <w:rPr>
          <w:rFonts w:hint="eastAsia" w:ascii="仿宋_GB2312" w:eastAsia="仿宋_GB2312"/>
          <w:color w:val="000000"/>
          <w:sz w:val="32"/>
          <w:szCs w:val="32"/>
        </w:rPr>
        <w:t>辆，其中：轿车</w:t>
      </w:r>
      <w:r>
        <w:rPr>
          <w:rFonts w:ascii="仿宋_GB2312" w:eastAsia="仿宋_GB2312"/>
          <w:color w:val="000000"/>
          <w:sz w:val="32"/>
          <w:szCs w:val="32"/>
        </w:rPr>
        <w:t>0</w:t>
      </w:r>
      <w:r>
        <w:rPr>
          <w:rFonts w:hint="eastAsia" w:ascii="仿宋_GB2312" w:eastAsia="仿宋_GB2312"/>
          <w:color w:val="000000"/>
          <w:sz w:val="32"/>
          <w:szCs w:val="32"/>
        </w:rPr>
        <w:t>辆、越野车</w:t>
      </w:r>
      <w:r>
        <w:rPr>
          <w:rFonts w:ascii="仿宋_GB2312" w:eastAsia="仿宋_GB2312"/>
          <w:color w:val="000000"/>
          <w:sz w:val="32"/>
          <w:szCs w:val="32"/>
        </w:rPr>
        <w:t>1</w:t>
      </w:r>
      <w:r>
        <w:rPr>
          <w:rFonts w:hint="eastAsia" w:ascii="仿宋_GB2312" w:eastAsia="仿宋_GB2312"/>
          <w:color w:val="000000"/>
          <w:sz w:val="32"/>
          <w:szCs w:val="32"/>
        </w:rPr>
        <w:t>辆、载客汽车</w:t>
      </w:r>
      <w:r>
        <w:rPr>
          <w:rFonts w:ascii="仿宋_GB2312" w:eastAsia="仿宋_GB2312"/>
          <w:color w:val="000000"/>
          <w:sz w:val="32"/>
          <w:szCs w:val="32"/>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ascii="仿宋_GB2312" w:eastAsia="仿宋_GB2312"/>
          <w:color w:val="000000"/>
          <w:sz w:val="32"/>
          <w:szCs w:val="32"/>
        </w:rPr>
        <w:t>7.74</w:t>
      </w:r>
      <w:r>
        <w:rPr>
          <w:rFonts w:hint="eastAsia" w:ascii="仿宋_GB2312" w:eastAsia="仿宋_GB2312"/>
          <w:color w:val="000000"/>
          <w:sz w:val="32"/>
          <w:szCs w:val="32"/>
        </w:rPr>
        <w:t>万元。主要用于</w:t>
      </w:r>
      <w:r>
        <w:rPr>
          <w:rFonts w:ascii="仿宋_GB2312" w:eastAsia="仿宋_GB2312"/>
          <w:color w:val="000000"/>
          <w:sz w:val="32"/>
          <w:szCs w:val="32"/>
        </w:rPr>
        <w:t>…</w:t>
      </w:r>
      <w:r>
        <w:rPr>
          <w:rFonts w:hint="eastAsia" w:ascii="仿宋_GB2312" w:eastAsia="仿宋_GB2312"/>
          <w:color w:val="000000"/>
          <w:sz w:val="32"/>
          <w:szCs w:val="32"/>
        </w:rPr>
        <w:t>（具体工作）等所需的公务用车燃料费、维修费、过路过桥费、保险费等支出。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0.9</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30%</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0.15</w:t>
      </w:r>
      <w:r>
        <w:rPr>
          <w:rFonts w:hint="eastAsia" w:ascii="仿宋_GB2312" w:eastAsia="仿宋_GB2312"/>
          <w:color w:val="000000"/>
          <w:sz w:val="32"/>
          <w:szCs w:val="32"/>
        </w:rPr>
        <w:t>万元，下降</w:t>
      </w:r>
      <w:r>
        <w:rPr>
          <w:rFonts w:ascii="仿宋_GB2312" w:eastAsia="仿宋_GB2312"/>
          <w:color w:val="000000"/>
          <w:sz w:val="32"/>
          <w:szCs w:val="32"/>
        </w:rPr>
        <w:t>14.28%</w:t>
      </w:r>
      <w:r>
        <w:rPr>
          <w:rFonts w:hint="eastAsia" w:ascii="仿宋_GB2312" w:eastAsia="仿宋_GB2312"/>
          <w:color w:val="000000"/>
          <w:sz w:val="32"/>
          <w:szCs w:val="32"/>
        </w:rPr>
        <w:t>。主要原因是严审公务接待。</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11</w:t>
      </w:r>
      <w:r>
        <w:rPr>
          <w:rFonts w:hint="eastAsia" w:ascii="仿宋_GB2312" w:eastAsia="仿宋_GB2312"/>
          <w:color w:val="000000"/>
          <w:sz w:val="32"/>
          <w:szCs w:val="32"/>
        </w:rPr>
        <w:t>批次，</w:t>
      </w:r>
      <w:r>
        <w:rPr>
          <w:rFonts w:ascii="仿宋_GB2312" w:eastAsia="仿宋_GB2312"/>
          <w:color w:val="000000"/>
          <w:sz w:val="32"/>
          <w:szCs w:val="32"/>
        </w:rPr>
        <w:t>89</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0.9</w:t>
      </w:r>
      <w:r>
        <w:rPr>
          <w:rFonts w:hint="eastAsia" w:ascii="仿宋_GB2312" w:eastAsia="仿宋_GB2312"/>
          <w:color w:val="000000"/>
          <w:sz w:val="32"/>
          <w:szCs w:val="32"/>
        </w:rPr>
        <w:t>万元。其中：</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ascii="仿宋" w:hAnsi="仿宋" w:eastAsia="仿宋"/>
          <w:color w:val="000000"/>
          <w:sz w:val="32"/>
          <w:szCs w:val="32"/>
        </w:rPr>
        <w:t>0</w:t>
      </w:r>
      <w:r>
        <w:rPr>
          <w:rFonts w:hint="eastAsia" w:ascii="仿宋_GB2312" w:eastAsia="仿宋_GB2312"/>
          <w:color w:val="000000"/>
          <w:sz w:val="32"/>
          <w:szCs w:val="32"/>
        </w:rPr>
        <w:t>万元，外事接待</w:t>
      </w:r>
      <w:r>
        <w:rPr>
          <w:rFonts w:ascii="仿宋_GB2312" w:eastAsia="仿宋_GB2312"/>
          <w:color w:val="000000"/>
          <w:sz w:val="32"/>
          <w:szCs w:val="32"/>
        </w:rPr>
        <w:t>0</w:t>
      </w:r>
      <w:r>
        <w:rPr>
          <w:rFonts w:hint="eastAsia" w:ascii="仿宋_GB2312" w:eastAsia="仿宋_GB2312"/>
          <w:color w:val="000000"/>
          <w:sz w:val="32"/>
          <w:szCs w:val="32"/>
        </w:rPr>
        <w:t>批次，</w:t>
      </w:r>
      <w:r>
        <w:rPr>
          <w:rFonts w:ascii="仿宋_GB2312" w:eastAsia="仿宋_GB2312"/>
          <w:color w:val="000000"/>
          <w:sz w:val="32"/>
          <w:szCs w:val="32"/>
        </w:rPr>
        <w:t>0</w:t>
      </w:r>
      <w:r>
        <w:rPr>
          <w:rFonts w:hint="eastAsia" w:ascii="仿宋_GB2312" w:eastAsia="仿宋_GB2312"/>
          <w:color w:val="000000"/>
          <w:sz w:val="32"/>
          <w:szCs w:val="32"/>
        </w:rPr>
        <w:t>人，共计支出</w:t>
      </w:r>
      <w:r>
        <w:rPr>
          <w:rFonts w:ascii="仿宋_GB2312" w:eastAsia="仿宋_GB2312"/>
          <w:color w:val="000000"/>
          <w:sz w:val="32"/>
          <w:szCs w:val="32"/>
        </w:rPr>
        <w:t>0</w:t>
      </w:r>
      <w:r>
        <w:rPr>
          <w:rFonts w:hint="eastAsia" w:ascii="仿宋_GB2312" w:eastAsia="仿宋_GB2312"/>
          <w:color w:val="000000"/>
          <w:sz w:val="32"/>
          <w:szCs w:val="32"/>
        </w:rPr>
        <w:t>万元，主要用于接待</w:t>
      </w:r>
      <w:r>
        <w:rPr>
          <w:rFonts w:ascii="仿宋_GB2312" w:eastAsia="仿宋_GB2312"/>
          <w:color w:val="000000"/>
          <w:sz w:val="32"/>
          <w:szCs w:val="32"/>
        </w:rPr>
        <w:t>…</w:t>
      </w:r>
      <w:r>
        <w:rPr>
          <w:rFonts w:hint="eastAsia" w:ascii="仿宋_GB2312" w:eastAsia="仿宋_GB2312"/>
          <w:color w:val="000000"/>
          <w:sz w:val="32"/>
          <w:szCs w:val="32"/>
        </w:rPr>
        <w:t>（具体项目）。主要用于……</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其他国内公务接待支出</w:t>
      </w:r>
      <w:r>
        <w:rPr>
          <w:rFonts w:ascii="仿宋" w:hAnsi="仿宋" w:eastAsia="仿宋"/>
          <w:color w:val="000000"/>
          <w:sz w:val="32"/>
          <w:szCs w:val="32"/>
        </w:rPr>
        <w:t>0</w:t>
      </w:r>
      <w:r>
        <w:rPr>
          <w:rFonts w:hint="eastAsia" w:ascii="仿宋_GB2312" w:eastAsia="仿宋_GB2312"/>
          <w:color w:val="000000"/>
          <w:sz w:val="32"/>
          <w:szCs w:val="32"/>
        </w:rPr>
        <w:t>万元，主要用于……</w:t>
      </w:r>
    </w:p>
    <w:p>
      <w:pPr>
        <w:spacing w:line="600" w:lineRule="exact"/>
        <w:ind w:firstLine="640"/>
        <w:outlineLvl w:val="1"/>
        <w:rPr>
          <w:rStyle w:val="17"/>
          <w:rFonts w:ascii="黑体" w:hAnsi="黑体" w:eastAsia="黑体"/>
        </w:rPr>
      </w:pPr>
      <w:bookmarkStart w:id="56" w:name="_Toc15396610"/>
      <w:bookmarkStart w:id="57" w:name="_Toc15377218"/>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56"/>
      <w:bookmarkEnd w:id="5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w:t>
      </w:r>
      <w:r>
        <w:rPr>
          <w:rFonts w:ascii="仿宋_GB2312" w:eastAsia="仿宋_GB2312"/>
          <w:color w:val="000000"/>
          <w:sz w:val="32"/>
          <w:szCs w:val="32"/>
        </w:rPr>
        <w:t>528.34</w:t>
      </w:r>
      <w:r>
        <w:rPr>
          <w:rFonts w:hint="eastAsia" w:ascii="仿宋_GB2312" w:eastAsia="仿宋_GB2312"/>
          <w:color w:val="000000"/>
          <w:sz w:val="32"/>
          <w:szCs w:val="32"/>
        </w:rPr>
        <w:t>万元。</w:t>
      </w:r>
    </w:p>
    <w:p>
      <w:pPr>
        <w:numPr>
          <w:ilvl w:val="0"/>
          <w:numId w:val="3"/>
        </w:numPr>
        <w:spacing w:line="600" w:lineRule="exact"/>
        <w:ind w:firstLine="640"/>
        <w:outlineLvl w:val="1"/>
        <w:rPr>
          <w:rStyle w:val="17"/>
          <w:rFonts w:ascii="黑体" w:hAnsi="黑体" w:eastAsia="黑体"/>
          <w:b w:val="0"/>
        </w:rPr>
      </w:pPr>
      <w:bookmarkStart w:id="58" w:name="_Toc15377219"/>
      <w:bookmarkStart w:id="59" w:name="_Toc15396611"/>
      <w:r>
        <w:rPr>
          <w:rStyle w:val="17"/>
          <w:rFonts w:hint="eastAsia" w:ascii="黑体" w:hAnsi="黑体" w:eastAsia="黑体"/>
          <w:b w:val="0"/>
        </w:rPr>
        <w:t>国有资本经营预算支出决算情况说明</w:t>
      </w:r>
      <w:bookmarkEnd w:id="58"/>
      <w:bookmarkEnd w:id="5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580" w:lineRule="exact"/>
        <w:ind w:firstLine="800" w:firstLineChars="250"/>
        <w:rPr>
          <w:rStyle w:val="17"/>
          <w:rFonts w:ascii="黑体" w:hAnsi="黑体" w:eastAsia="黑体"/>
          <w:b w:val="0"/>
        </w:rPr>
      </w:pPr>
      <w:r>
        <w:rPr>
          <w:rStyle w:val="17"/>
          <w:rFonts w:hint="eastAsia" w:ascii="黑体" w:hAnsi="黑体" w:eastAsia="黑体"/>
          <w:b w:val="0"/>
        </w:rPr>
        <w:t>十、预算绩效情况说明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根据预算绩效管理要求，本部门（单位）在年初预算编制阶段，组织对项目开展了预算事前绩效评估，对</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个项目编制了绩效目标，预算执行过程中，选取</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个项目开展绩效监控，年终执行完毕后，对</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个项目开展了绩效目标完成情况梳理填报。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hint="eastAsia" w:ascii="仿宋" w:hAnsi="仿宋" w:eastAsia="仿宋"/>
          <w:bCs/>
          <w:color w:val="000000"/>
          <w:sz w:val="32"/>
          <w:szCs w:val="32"/>
        </w:rPr>
        <w:t>完成城乡居民最低生活保障救助、医疗救助、临时救助、特困供养、婚姻登记、儿童福利保障、老年福利保障、社会事务、退役军人事务、基层政权和社区建设等工作。</w:t>
      </w:r>
      <w:r>
        <w:rPr>
          <w:rFonts w:hint="eastAsia" w:ascii="仿宋_GB2312" w:hAnsi="仿宋_GB2312" w:eastAsia="仿宋_GB2312" w:cs="仿宋_GB2312"/>
          <w:sz w:val="32"/>
          <w:szCs w:val="32"/>
        </w:rPr>
        <w:t>本部门还自行组织了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个项目绩效评价，从评价情况来看部门支出绩效情况较好。</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ascii="楷体_GB2312" w:hAnsi="楷体_GB2312" w:eastAsia="楷体_GB2312" w:cs="楷体_GB2312"/>
          <w:b/>
          <w:bCs/>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年度部门决算中反映“农村低保””城市低保”“临时救助”等</w:t>
      </w:r>
      <w:r>
        <w:rPr>
          <w:rFonts w:ascii="仿宋_GB2312" w:hAnsi="仿宋_GB2312" w:eastAsia="仿宋_GB2312" w:cs="仿宋_GB2312"/>
          <w:sz w:val="32"/>
          <w:szCs w:val="32"/>
        </w:rPr>
        <w:t>39</w:t>
      </w:r>
      <w:r>
        <w:rPr>
          <w:rFonts w:hint="eastAsia" w:ascii="仿宋_GB2312" w:hAnsi="仿宋_GB2312" w:eastAsia="仿宋_GB2312" w:cs="仿宋_GB2312"/>
          <w:sz w:val="32"/>
          <w:szCs w:val="32"/>
        </w:rPr>
        <w:t>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农村居民最低生活保障金项目绩效目标完成情况综述。项目全年预算数</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496.94</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。通过项目实施，保障了全区农村居民最低生活保障。</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困难残疾人生活补贴项目绩效目标完成情况综述。项目全年预算数</w:t>
      </w:r>
      <w:r>
        <w:rPr>
          <w:rFonts w:ascii="仿宋_GB2312" w:hAnsi="仿宋_GB2312" w:eastAsia="仿宋_GB2312" w:cs="仿宋_GB2312"/>
          <w:sz w:val="32"/>
          <w:szCs w:val="32"/>
        </w:rPr>
        <w:t>81.12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107.5</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。通过项目实施，保障全区困难残疾人生活补贴足额发放。</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高龄长寿补贴项目绩效目标完成情况综述。项目全年预算数</w:t>
      </w:r>
      <w:r>
        <w:rPr>
          <w:rFonts w:ascii="仿宋_GB2312" w:hAnsi="仿宋_GB2312" w:eastAsia="仿宋_GB2312" w:cs="仿宋_GB2312"/>
          <w:sz w:val="32"/>
          <w:szCs w:val="32"/>
        </w:rPr>
        <w:t>248.98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303.23</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。通过项目实施，保障全区高龄长寿老人补贴足额发放。</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6"/>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农村居民最低生活保障资金</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攀枝花市仁和区民政局</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300</w:t>
            </w:r>
            <w:r>
              <w:rPr>
                <w:rFonts w:hint="eastAsia" w:ascii="宋体"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496.94</w:t>
            </w:r>
            <w:r>
              <w:rPr>
                <w:rFonts w:hint="eastAsia" w:ascii="宋体" w:cs="宋体"/>
                <w:color w:val="000000"/>
                <w:sz w:val="24"/>
              </w:rPr>
              <w:t>万</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300</w:t>
            </w:r>
            <w:r>
              <w:rPr>
                <w:rFonts w:hint="eastAsia" w:ascii="宋体" w:cs="宋体"/>
                <w:color w:val="000000"/>
                <w:sz w:val="24"/>
              </w:rPr>
              <w:t>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496.94</w:t>
            </w:r>
            <w:r>
              <w:rPr>
                <w:rFonts w:hint="eastAsia" w:ascii="宋体" w:cs="宋体"/>
                <w:color w:val="000000"/>
                <w:sz w:val="24"/>
              </w:rPr>
              <w:t>万</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cs="宋体"/>
                <w:color w:val="000000"/>
                <w:sz w:val="24"/>
              </w:rPr>
            </w:pP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根据省政府令第</w:t>
            </w:r>
            <w:r>
              <w:rPr>
                <w:rFonts w:ascii="宋体" w:cs="宋体"/>
                <w:color w:val="000000"/>
                <w:sz w:val="24"/>
              </w:rPr>
              <w:t>240</w:t>
            </w:r>
            <w:r>
              <w:rPr>
                <w:rFonts w:hint="eastAsia" w:ascii="宋体" w:cs="宋体"/>
                <w:color w:val="000000"/>
                <w:sz w:val="24"/>
              </w:rPr>
              <w:t>号，农村低保资金筹集以地方为主，各级人民政府应将保障资金列入财政预算。通过低保政策进一步保障农村困难群众基本生活，争取完成市区下达的民生工程目标任务。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通过低保政策进一步保障农村困难群众基本生活，争取完成市区下达的民生工程目标任务。</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农村低保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w:t>
            </w:r>
            <w:r>
              <w:rPr>
                <w:rFonts w:ascii="宋体" w:cs="宋体"/>
                <w:color w:val="000000"/>
                <w:sz w:val="24"/>
              </w:rPr>
              <w:t>2018</w:t>
            </w:r>
            <w:r>
              <w:rPr>
                <w:rFonts w:hint="eastAsia" w:ascii="宋体" w:cs="宋体"/>
                <w:color w:val="000000"/>
                <w:sz w:val="24"/>
              </w:rPr>
              <w:t>年度农村低保实有人数发放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按</w:t>
            </w:r>
            <w:r>
              <w:rPr>
                <w:rFonts w:ascii="宋体" w:cs="宋体"/>
                <w:color w:val="000000"/>
                <w:sz w:val="24"/>
              </w:rPr>
              <w:t>2018</w:t>
            </w:r>
            <w:r>
              <w:rPr>
                <w:rFonts w:hint="eastAsia" w:ascii="宋体" w:cs="宋体"/>
                <w:color w:val="000000"/>
                <w:sz w:val="24"/>
              </w:rPr>
              <w:t>年度农村低保实有人数发放</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年人均补差额度达到市区下达的民生工程目标任务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年人均补差额度达到市区下达的民生工程目标任务</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hint="eastAsia" w:ascii="宋体" w:cs="宋体"/>
                <w:color w:val="000000"/>
                <w:sz w:val="24"/>
              </w:rPr>
              <w:t>年</w:t>
            </w:r>
            <w:r>
              <w:rPr>
                <w:rFonts w:ascii="宋体" w:cs="宋体"/>
                <w:color w:val="000000"/>
                <w:sz w:val="24"/>
              </w:rPr>
              <w:t>12</w:t>
            </w:r>
            <w:r>
              <w:rPr>
                <w:rFonts w:hint="eastAsia" w:ascii="宋体" w:cs="宋体"/>
                <w:color w:val="000000"/>
                <w:sz w:val="24"/>
              </w:rPr>
              <w:t>月前完成</w:t>
            </w: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保障农村低保家庭基本生活，全面建成小康社会</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保障农村低保家庭基本生活，全面建成小康社会</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r>
      <w:tr>
        <w:tblPrEx>
          <w:tblLayout w:type="fixed"/>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服务对象满意度达</w:t>
            </w:r>
            <w:r>
              <w:rPr>
                <w:rFonts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服务对象满意度达</w:t>
            </w:r>
            <w:r>
              <w:rPr>
                <w:rFonts w:ascii="宋体" w:cs="宋体"/>
                <w:color w:val="000000"/>
                <w:sz w:val="24"/>
              </w:rPr>
              <w:t>95%</w:t>
            </w:r>
          </w:p>
        </w:tc>
      </w:tr>
    </w:tbl>
    <w:p>
      <w:pPr>
        <w:rPr>
          <w:rFonts w:ascii="Calibri" w:hAnsi="Calibri"/>
        </w:rPr>
      </w:pPr>
    </w:p>
    <w:p>
      <w:pPr>
        <w:spacing w:line="580" w:lineRule="exact"/>
        <w:rPr>
          <w:rFonts w:ascii="仿宋_GB2312" w:hAnsi="仿宋_GB2312" w:eastAsia="仿宋_GB2312"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年部门整体支出绩效评价情况开展自评，《仁和区民政局</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本部门自行组织对困难残疾人生活补贴项目、孤儿基本生活保障金等项目开展了绩效评价，《项目</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年绩效评价报告》见附件。（非涉密部门均需公开部门整体支出评价报告，部门自行组织的绩效评价情况根据部门实际公开）</w:t>
      </w:r>
    </w:p>
    <w:p>
      <w:pPr>
        <w:spacing w:line="600" w:lineRule="exact"/>
        <w:ind w:firstLine="800" w:firstLineChars="250"/>
        <w:outlineLvl w:val="1"/>
        <w:rPr>
          <w:rStyle w:val="17"/>
          <w:rFonts w:ascii="黑体" w:hAnsi="黑体" w:eastAsia="黑体"/>
        </w:rPr>
      </w:pPr>
      <w:bookmarkStart w:id="60" w:name="_Toc15396612"/>
      <w:bookmarkStart w:id="61" w:name="_Toc15377221"/>
      <w:r>
        <w:rPr>
          <w:rFonts w:hint="eastAsia" w:ascii="黑体" w:hAnsi="黑体" w:eastAsia="黑体"/>
          <w:color w:val="000000"/>
          <w:sz w:val="32"/>
          <w:szCs w:val="32"/>
        </w:rPr>
        <w:t>十</w:t>
      </w:r>
      <w:r>
        <w:rPr>
          <w:rStyle w:val="17"/>
          <w:rFonts w:hint="eastAsia" w:ascii="黑体" w:hAnsi="黑体" w:eastAsia="黑体"/>
        </w:rPr>
        <w:t>一、</w:t>
      </w:r>
      <w:r>
        <w:rPr>
          <w:rStyle w:val="17"/>
          <w:rFonts w:hint="eastAsia" w:ascii="黑体" w:hAnsi="黑体" w:eastAsia="黑体"/>
          <w:b w:val="0"/>
        </w:rPr>
        <w:t>其他重要事项的情况说明</w:t>
      </w:r>
      <w:bookmarkEnd w:id="60"/>
      <w:bookmarkEnd w:id="61"/>
    </w:p>
    <w:p>
      <w:pPr>
        <w:spacing w:line="600" w:lineRule="exact"/>
        <w:ind w:firstLine="643" w:firstLineChars="200"/>
        <w:outlineLvl w:val="2"/>
        <w:rPr>
          <w:rFonts w:ascii="仿宋" w:hAnsi="仿宋" w:eastAsia="仿宋"/>
          <w:color w:val="000000"/>
          <w:sz w:val="32"/>
          <w:szCs w:val="32"/>
        </w:rPr>
      </w:pPr>
      <w:bookmarkStart w:id="62" w:name="_Toc15377222"/>
      <w:r>
        <w:rPr>
          <w:rFonts w:hint="eastAsia" w:ascii="仿宋" w:hAnsi="仿宋" w:eastAsia="仿宋"/>
          <w:b/>
          <w:color w:val="000000"/>
          <w:sz w:val="32"/>
          <w:szCs w:val="32"/>
        </w:rPr>
        <w:t>（一）机关运行经费支出情况</w:t>
      </w:r>
      <w:bookmarkEnd w:id="6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年，仁和区民政局机关运行经费支出</w:t>
      </w:r>
      <w:r>
        <w:rPr>
          <w:rFonts w:ascii="仿宋_GB2312" w:eastAsia="仿宋_GB2312"/>
          <w:color w:val="000000"/>
          <w:sz w:val="32"/>
          <w:szCs w:val="32"/>
        </w:rPr>
        <w:t>378.24</w:t>
      </w:r>
      <w:r>
        <w:rPr>
          <w:rFonts w:hint="eastAsia" w:ascii="仿宋_GB2312" w:eastAsia="仿宋_GB2312"/>
          <w:color w:val="000000"/>
          <w:sz w:val="32"/>
          <w:szCs w:val="32"/>
        </w:rPr>
        <w:t>万元，比</w:t>
      </w:r>
      <w:r>
        <w:rPr>
          <w:rFonts w:ascii="仿宋_GB2312" w:eastAsia="仿宋_GB2312"/>
          <w:color w:val="000000"/>
          <w:sz w:val="32"/>
          <w:szCs w:val="32"/>
        </w:rPr>
        <w:t>2017</w:t>
      </w:r>
      <w:r>
        <w:rPr>
          <w:rFonts w:hint="eastAsia" w:ascii="仿宋_GB2312" w:eastAsia="仿宋_GB2312"/>
          <w:color w:val="000000"/>
          <w:sz w:val="32"/>
          <w:szCs w:val="32"/>
        </w:rPr>
        <w:t>年减少</w:t>
      </w:r>
      <w:r>
        <w:rPr>
          <w:rFonts w:ascii="仿宋_GB2312" w:eastAsia="仿宋_GB2312"/>
          <w:color w:val="000000"/>
          <w:sz w:val="32"/>
          <w:szCs w:val="32"/>
        </w:rPr>
        <w:t>118.36</w:t>
      </w:r>
      <w:r>
        <w:rPr>
          <w:rFonts w:hint="eastAsia" w:ascii="仿宋_GB2312" w:eastAsia="仿宋_GB2312"/>
          <w:color w:val="000000"/>
          <w:sz w:val="32"/>
          <w:szCs w:val="32"/>
        </w:rPr>
        <w:t>万元，下降</w:t>
      </w:r>
      <w:r>
        <w:rPr>
          <w:rFonts w:ascii="仿宋_GB2312" w:eastAsia="仿宋_GB2312"/>
          <w:color w:val="000000"/>
          <w:sz w:val="32"/>
          <w:szCs w:val="32"/>
        </w:rPr>
        <w:t>23%</w:t>
      </w:r>
      <w:r>
        <w:rPr>
          <w:rFonts w:hint="eastAsia" w:ascii="仿宋_GB2312" w:eastAsia="仿宋_GB2312"/>
          <w:color w:val="000000"/>
          <w:sz w:val="32"/>
          <w:szCs w:val="32"/>
        </w:rPr>
        <w:t>。主要原因是人员经费减少。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3" w:name="_Toc15377223"/>
      <w:r>
        <w:rPr>
          <w:rFonts w:hint="eastAsia" w:ascii="仿宋" w:hAnsi="仿宋" w:eastAsia="仿宋"/>
          <w:b/>
          <w:color w:val="000000"/>
          <w:sz w:val="32"/>
          <w:szCs w:val="32"/>
        </w:rPr>
        <w:t>（二）政府采购支出情况</w:t>
      </w:r>
      <w:bookmarkEnd w:id="63"/>
    </w:p>
    <w:p>
      <w:pPr>
        <w:spacing w:line="60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年，政府采购支出总额</w:t>
      </w:r>
      <w:r>
        <w:rPr>
          <w:rFonts w:ascii="仿宋_GB2312" w:eastAsia="仿宋_GB2312"/>
          <w:sz w:val="32"/>
          <w:szCs w:val="32"/>
        </w:rPr>
        <w:t>300.51</w:t>
      </w:r>
      <w:r>
        <w:rPr>
          <w:rFonts w:hint="eastAsia" w:ascii="仿宋_GB2312" w:eastAsia="仿宋_GB2312"/>
          <w:sz w:val="32"/>
          <w:szCs w:val="32"/>
        </w:rPr>
        <w:t>万元，其中：政府采购货物支出</w:t>
      </w:r>
      <w:r>
        <w:rPr>
          <w:rFonts w:ascii="仿宋_GB2312" w:eastAsia="仿宋_GB2312"/>
          <w:sz w:val="32"/>
          <w:szCs w:val="32"/>
        </w:rPr>
        <w:t>111.46</w:t>
      </w:r>
      <w:r>
        <w:rPr>
          <w:rFonts w:hint="eastAsia" w:ascii="仿宋_GB2312" w:eastAsia="仿宋_GB2312"/>
          <w:sz w:val="32"/>
          <w:szCs w:val="32"/>
        </w:rPr>
        <w:t>万元、政府采购工程支出</w:t>
      </w:r>
      <w:r>
        <w:rPr>
          <w:rFonts w:ascii="仿宋_GB2312" w:eastAsia="仿宋_GB2312"/>
          <w:sz w:val="32"/>
          <w:szCs w:val="32"/>
        </w:rPr>
        <w:t>189.05</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万元。主要用于物资储备采购冬春救灾物资、敬老院基础设施设备改造等。授予中小企业合同金额</w:t>
      </w:r>
      <w:r>
        <w:rPr>
          <w:rFonts w:ascii="仿宋_GB2312" w:eastAsia="仿宋_GB2312"/>
          <w:sz w:val="32"/>
          <w:szCs w:val="32"/>
        </w:rPr>
        <w:t>300.51</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，其中：授予小微企业合同金额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CS06</w:t>
      </w:r>
      <w:r>
        <w:rPr>
          <w:rFonts w:hint="eastAsia" w:ascii="仿宋" w:hAnsi="仿宋" w:eastAsia="仿宋"/>
          <w:b/>
          <w:color w:val="00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4" w:name="_Toc15377224"/>
      <w:r>
        <w:rPr>
          <w:rFonts w:hint="eastAsia" w:ascii="仿宋" w:hAnsi="仿宋" w:eastAsia="仿宋"/>
          <w:b/>
          <w:color w:val="000000"/>
          <w:sz w:val="32"/>
          <w:szCs w:val="32"/>
        </w:rPr>
        <w:t>（三）国有资产占有使用情况</w:t>
      </w:r>
      <w:bookmarkEnd w:id="6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1</w:t>
      </w:r>
      <w:r>
        <w:rPr>
          <w:rFonts w:hint="eastAsia" w:ascii="仿宋_GB2312" w:eastAsia="仿宋_GB2312"/>
          <w:color w:val="000000"/>
          <w:sz w:val="32"/>
          <w:szCs w:val="32"/>
        </w:rPr>
        <w:t>辆，其中：部级领导干部用车</w:t>
      </w:r>
      <w:r>
        <w:rPr>
          <w:rFonts w:ascii="仿宋_GB2312" w:eastAsia="仿宋_GB2312"/>
          <w:color w:val="000000"/>
          <w:sz w:val="32"/>
          <w:szCs w:val="32"/>
        </w:rPr>
        <w:t>0</w:t>
      </w:r>
      <w:r>
        <w:rPr>
          <w:rFonts w:hint="eastAsia" w:ascii="仿宋_GB2312" w:eastAsia="仿宋_GB2312"/>
          <w:color w:val="000000"/>
          <w:sz w:val="32"/>
          <w:szCs w:val="32"/>
        </w:rPr>
        <w:t>辆、一般公务用车</w:t>
      </w:r>
      <w:r>
        <w:rPr>
          <w:rFonts w:ascii="仿宋_GB2312" w:eastAsia="仿宋_GB2312"/>
          <w:color w:val="000000"/>
          <w:sz w:val="32"/>
          <w:szCs w:val="32"/>
        </w:rPr>
        <w:t>0</w:t>
      </w:r>
      <w:r>
        <w:rPr>
          <w:rFonts w:hint="eastAsia" w:ascii="仿宋_GB2312" w:eastAsia="仿宋_GB2312"/>
          <w:color w:val="000000"/>
          <w:sz w:val="32"/>
          <w:szCs w:val="32"/>
        </w:rPr>
        <w:t>辆、一般执法执勤用车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1</w:t>
      </w:r>
      <w:r>
        <w:rPr>
          <w:rFonts w:hint="eastAsia" w:ascii="仿宋_GB2312" w:eastAsia="仿宋_GB2312"/>
          <w:color w:val="000000"/>
          <w:sz w:val="32"/>
          <w:szCs w:val="32"/>
        </w:rPr>
        <w:t>辆，其他用车主要是用于应急保障，单价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ascii="仿宋_GB2312" w:eastAsia="仿宋_GB2312"/>
          <w:color w:val="000000"/>
          <w:sz w:val="32"/>
          <w:szCs w:val="32"/>
        </w:rPr>
        <w:t>1</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（数据来源财决</w:t>
      </w:r>
      <w:r>
        <w:rPr>
          <w:rFonts w:ascii="仿宋" w:hAnsi="仿宋" w:eastAsia="仿宋"/>
          <w:b/>
          <w:color w:val="000000"/>
          <w:sz w:val="32"/>
          <w:szCs w:val="32"/>
        </w:rPr>
        <w:t>CS05</w:t>
      </w:r>
      <w:r>
        <w:rPr>
          <w:rFonts w:hint="eastAsia" w:ascii="仿宋" w:hAnsi="仿宋" w:eastAsia="仿宋"/>
          <w:b/>
          <w:color w:val="000000"/>
          <w:sz w:val="32"/>
          <w:szCs w:val="32"/>
        </w:rPr>
        <w:t>表，按部门决算报表填报数据罗列车辆情况。）</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6"/>
          <w:rFonts w:ascii="黑体" w:hAnsi="黑体" w:eastAsia="黑体"/>
          <w:b w:val="0"/>
        </w:rPr>
      </w:pPr>
      <w:bookmarkStart w:id="65" w:name="_Toc15377225"/>
      <w:bookmarkStart w:id="66" w:name="_Toc15396613"/>
      <w:r>
        <w:rPr>
          <w:rFonts w:hint="eastAsia" w:ascii="黑体" w:hAnsi="黑体" w:eastAsia="黑体"/>
          <w:b/>
          <w:color w:val="000000"/>
          <w:sz w:val="44"/>
          <w:szCs w:val="44"/>
        </w:rPr>
        <w:t>名</w:t>
      </w:r>
      <w:r>
        <w:rPr>
          <w:rStyle w:val="16"/>
          <w:rFonts w:hint="eastAsia" w:ascii="黑体" w:hAnsi="黑体" w:eastAsia="黑体"/>
          <w:b w:val="0"/>
        </w:rPr>
        <w:t>词解释</w:t>
      </w:r>
      <w:bookmarkEnd w:id="65"/>
      <w:bookmarkEnd w:id="66"/>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9. </w:t>
      </w:r>
      <w:r>
        <w:rPr>
          <w:rFonts w:hint="eastAsia" w:ascii="仿宋_GB2312" w:eastAsia="仿宋_GB2312"/>
          <w:color w:val="000000"/>
          <w:sz w:val="32"/>
          <w:szCs w:val="32"/>
        </w:rPr>
        <w:t>社会保障和就业（类）</w:t>
      </w:r>
      <w:r>
        <w:rPr>
          <w:rFonts w:ascii="仿宋_GB2312" w:eastAsia="仿宋_GB2312"/>
          <w:color w:val="000000"/>
          <w:sz w:val="32"/>
          <w:szCs w:val="32"/>
        </w:rPr>
        <w:t>208</w:t>
      </w:r>
      <w:r>
        <w:rPr>
          <w:rFonts w:hint="eastAsia" w:ascii="仿宋_GB2312" w:eastAsia="仿宋_GB2312"/>
          <w:color w:val="000000"/>
          <w:sz w:val="32"/>
          <w:szCs w:val="32"/>
        </w:rPr>
        <w:t>社会保障和就业支出（款）</w:t>
      </w:r>
      <w:r>
        <w:rPr>
          <w:rFonts w:ascii="仿宋_GB2312" w:eastAsia="仿宋_GB2312"/>
          <w:color w:val="000000"/>
          <w:sz w:val="32"/>
          <w:szCs w:val="32"/>
        </w:rPr>
        <w:t>20802</w:t>
      </w:r>
      <w:r>
        <w:rPr>
          <w:rFonts w:hint="eastAsia" w:ascii="仿宋_GB2312" w:eastAsia="仿宋_GB2312"/>
          <w:color w:val="000000"/>
          <w:sz w:val="32"/>
          <w:szCs w:val="32"/>
        </w:rPr>
        <w:t>民政管理事务（项）</w:t>
      </w:r>
      <w:r>
        <w:rPr>
          <w:rFonts w:ascii="仿宋_GB2312" w:eastAsia="仿宋_GB2312"/>
          <w:color w:val="000000"/>
          <w:sz w:val="32"/>
          <w:szCs w:val="32"/>
        </w:rPr>
        <w:t>2080201-</w:t>
      </w:r>
      <w:r>
        <w:rPr>
          <w:rFonts w:hint="eastAsia" w:ascii="仿宋_GB2312" w:eastAsia="仿宋_GB2312"/>
          <w:color w:val="000000"/>
          <w:sz w:val="32"/>
          <w:szCs w:val="32"/>
        </w:rPr>
        <w:t>行政运行。</w:t>
      </w:r>
    </w:p>
    <w:p>
      <w:pPr>
        <w:ind w:firstLine="640" w:firstLineChars="200"/>
        <w:rPr>
          <w:rFonts w:ascii="仿宋_GB2312" w:eastAsia="仿宋_GB2312"/>
          <w:color w:val="000000"/>
          <w:sz w:val="32"/>
          <w:szCs w:val="32"/>
        </w:rPr>
      </w:pPr>
      <w:r>
        <w:rPr>
          <w:rFonts w:ascii="仿宋_GB2312" w:eastAsia="仿宋_GB2312"/>
          <w:color w:val="000000"/>
          <w:sz w:val="32"/>
          <w:szCs w:val="32"/>
        </w:rPr>
        <w:t xml:space="preserve">10. </w:t>
      </w:r>
      <w:r>
        <w:rPr>
          <w:rFonts w:hint="eastAsia" w:ascii="仿宋_GB2312" w:eastAsia="仿宋_GB2312"/>
          <w:color w:val="000000"/>
          <w:sz w:val="32"/>
          <w:szCs w:val="32"/>
        </w:rPr>
        <w:t>医疗卫生与计划生育（类）</w:t>
      </w:r>
      <w:r>
        <w:rPr>
          <w:rFonts w:ascii="仿宋_GB2312" w:eastAsia="仿宋_GB2312"/>
          <w:color w:val="000000"/>
          <w:sz w:val="32"/>
          <w:szCs w:val="32"/>
        </w:rPr>
        <w:t>210</w:t>
      </w:r>
      <w:r>
        <w:rPr>
          <w:rFonts w:hint="eastAsia" w:ascii="仿宋_GB2312" w:eastAsia="仿宋_GB2312"/>
          <w:color w:val="000000"/>
          <w:sz w:val="32"/>
          <w:szCs w:val="32"/>
        </w:rPr>
        <w:t>卫生健康支出（款）</w:t>
      </w:r>
      <w:r>
        <w:rPr>
          <w:rFonts w:ascii="仿宋_GB2312" w:eastAsia="仿宋_GB2312"/>
          <w:color w:val="000000"/>
          <w:sz w:val="32"/>
          <w:szCs w:val="32"/>
        </w:rPr>
        <w:t>21011</w:t>
      </w:r>
      <w:r>
        <w:rPr>
          <w:rFonts w:hint="eastAsia" w:ascii="仿宋_GB2312" w:eastAsia="仿宋_GB2312"/>
          <w:color w:val="000000"/>
          <w:sz w:val="32"/>
          <w:szCs w:val="32"/>
        </w:rPr>
        <w:t>－行政事业单位医疗（项）</w:t>
      </w:r>
      <w:r>
        <w:rPr>
          <w:rFonts w:ascii="仿宋_GB2312" w:eastAsia="仿宋_GB2312"/>
          <w:color w:val="000000"/>
          <w:sz w:val="32"/>
          <w:szCs w:val="32"/>
        </w:rPr>
        <w:t>2101101-</w:t>
      </w:r>
      <w:r>
        <w:rPr>
          <w:rFonts w:hint="eastAsia" w:ascii="仿宋_GB2312" w:eastAsia="仿宋_GB2312"/>
          <w:color w:val="000000"/>
          <w:sz w:val="32"/>
          <w:szCs w:val="32"/>
        </w:rPr>
        <w:t>行政单位医疗。</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2018</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000000"/>
          <w:sz w:val="32"/>
          <w:szCs w:val="32"/>
        </w:rPr>
      </w:pPr>
    </w:p>
    <w:p>
      <w:pPr>
        <w:spacing w:line="600" w:lineRule="exact"/>
        <w:jc w:val="center"/>
        <w:outlineLvl w:val="0"/>
        <w:rPr>
          <w:rStyle w:val="16"/>
          <w:rFonts w:ascii="黑体" w:hAnsi="黑体" w:eastAsia="黑体"/>
          <w:b w:val="0"/>
        </w:rPr>
      </w:pPr>
      <w:bookmarkStart w:id="67" w:name="_Toc15377226"/>
      <w:r>
        <w:rPr>
          <w:rFonts w:ascii="宋体"/>
          <w:b/>
          <w:color w:val="000000"/>
          <w:sz w:val="44"/>
          <w:szCs w:val="44"/>
        </w:rPr>
        <w:br w:type="page"/>
      </w:r>
      <w:bookmarkStart w:id="68" w:name="_Toc15396614"/>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68"/>
    </w:p>
    <w:p>
      <w:pPr>
        <w:spacing w:line="600" w:lineRule="exact"/>
        <w:jc w:val="center"/>
        <w:outlineLvl w:val="0"/>
        <w:rPr>
          <w:rStyle w:val="16"/>
        </w:rPr>
      </w:pPr>
    </w:p>
    <w:p>
      <w:pPr>
        <w:pStyle w:val="3"/>
        <w:rPr>
          <w:rStyle w:val="16"/>
          <w:rFonts w:ascii="仿宋" w:hAnsi="仿宋" w:eastAsia="仿宋"/>
          <w:b w:val="0"/>
          <w:bCs w:val="0"/>
          <w:sz w:val="32"/>
          <w:szCs w:val="32"/>
        </w:rPr>
      </w:pPr>
      <w:bookmarkStart w:id="69" w:name="_Toc15396615"/>
      <w:r>
        <w:rPr>
          <w:rStyle w:val="16"/>
          <w:rFonts w:hint="eastAsia" w:ascii="仿宋" w:hAnsi="仿宋" w:eastAsia="仿宋"/>
          <w:b w:val="0"/>
          <w:bCs w:val="0"/>
          <w:sz w:val="32"/>
          <w:szCs w:val="32"/>
        </w:rPr>
        <w:t>附件</w:t>
      </w:r>
      <w:r>
        <w:rPr>
          <w:rStyle w:val="16"/>
          <w:rFonts w:ascii="仿宋" w:hAnsi="仿宋" w:eastAsia="仿宋"/>
          <w:b w:val="0"/>
          <w:bCs w:val="0"/>
          <w:sz w:val="32"/>
          <w:szCs w:val="32"/>
        </w:rPr>
        <w:t>1</w:t>
      </w:r>
      <w:bookmarkEnd w:id="69"/>
    </w:p>
    <w:p>
      <w:pPr>
        <w:spacing w:line="600" w:lineRule="exact"/>
        <w:jc w:val="center"/>
        <w:outlineLvl w:val="0"/>
        <w:rPr>
          <w:rFonts w:ascii="黑体" w:hAnsi="黑体" w:eastAsia="黑体" w:cs="方正小标宋简体"/>
          <w:sz w:val="36"/>
          <w:szCs w:val="36"/>
        </w:rPr>
      </w:pPr>
      <w:bookmarkStart w:id="70" w:name="_Toc15396616"/>
      <w:r>
        <w:rPr>
          <w:rFonts w:hint="eastAsia" w:ascii="黑体" w:hAnsi="黑体" w:eastAsia="黑体" w:cs="方正小标宋简体"/>
          <w:sz w:val="36"/>
          <w:szCs w:val="36"/>
        </w:rPr>
        <w:t>仁和区民政局</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7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区民政局设下列内设机构：</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（一）办公室。负责文电、会务、档案、机要、财务等机关日常运转工作。承担安全生产、机要保密、政务公开、新闻宣传、信访维稳、后勤保障、绩效管理等工作。承担有关综合性文件起草、</w:t>
      </w:r>
      <w:r>
        <w:rPr>
          <w:rFonts w:ascii="仿宋" w:hAnsi="仿宋" w:eastAsia="仿宋" w:cs="仿宋_GB2312"/>
          <w:sz w:val="32"/>
          <w:szCs w:val="32"/>
        </w:rPr>
        <w:t xml:space="preserve"> </w:t>
      </w:r>
      <w:r>
        <w:rPr>
          <w:rFonts w:hint="eastAsia" w:ascii="仿宋" w:hAnsi="仿宋" w:eastAsia="仿宋" w:cs="仿宋_GB2312"/>
          <w:sz w:val="32"/>
          <w:szCs w:val="32"/>
        </w:rPr>
        <w:t>政策理论研究和史志编纂工作。组织办理人大代表建议、政协委员提案。承担民政行业标准化工作。负责本系统、本部门依法行政工作的组织协调和督促指导，承担行政执法监督、行政复议、行政应诉、行政调解等工作。负责规范性文件合法性审核、报备和本系统权责清单制度建设、动态调整等工作。承担机关和直属事业单位机构编制、干部人事、教育培训、劳动工资及队伍建设等工作。牵头推进本系统“放管服”改革。</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社会救助股。拟订全区社会救助规划、政策、标准并监督实施，统筹推进社会救助体系建设，负责城乡居民最低生活保障、特困人员救助供养、临时救助工作。负责困难群众救助补助资金分配和监督工作。参与拟订医疗、住房、教育、就业、司法等救助相关办法。负责二十世纪六十年代初精减退职老职工生活困难救济。</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基层政权和区划地名股。拟订全区城乡基层群众自治建设和社区治理政策，指导城乡社区治理体系、服务体系和治理能力建设。提出加强和改进城乡基层政权建设的建议。推动基层民主政治建设，指导村（居）民委员会的民主选举、民主协商、民主决策、民主管理和民主监督工作，指导、协调、监督村（居）务公开。编拟全区行政区划规划；负责全区行政区域的设立、撤销、调整、更名、界线变更及其政府驻地迁移的审核上报。负责全区行政区域界线的勘定和管理工作，调处行政区域边界争议。负责全区的地名规划和地名管理工作；负责辖区内地名命名、更名、废名的审核上报；负责全区标准地名图书资料的审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拟订社会团体、社会服务机构等社会组织监督管理办法并组织实施，按照管理权限依法对社会组织进行登记管理和执法监督。负责社会组织信息管理。指导、管理、监督无业务主管单位的全区性社会组织和区民政局直管社会组织党建工作。拟订促进慈善事业发展政策和慈善信托、慈善组织及其活动管理办法，指导社会捐助工作。拟订社会工作、志愿服务政策和标准，组织推进社会工作人才队伍和志愿者队伍建设。</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社会事务和养老服务股。拟订全区婚姻、殡葬管理政策并组织实施。推进婚俗和殡葬改革。负责殡葬管理工作，拟订殡葬服务规范并组织实施。指导并监督婚姻登记机关、殡葬服务机构管理工作，承担全区婚姻登记信息管理工作。承担殡葬服务机构安全生产监督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拟订残疾人和其他特殊困难群体福利事业发展规划、</w:t>
      </w:r>
      <w:r>
        <w:rPr>
          <w:rFonts w:ascii="仿宋" w:hAnsi="仿宋" w:eastAsia="仿宋" w:cs="仿宋_GB2312"/>
          <w:sz w:val="32"/>
          <w:szCs w:val="32"/>
        </w:rPr>
        <w:t xml:space="preserve"> </w:t>
      </w:r>
      <w:r>
        <w:rPr>
          <w:rFonts w:hint="eastAsia" w:ascii="仿宋" w:hAnsi="仿宋" w:eastAsia="仿宋" w:cs="仿宋_GB2312"/>
          <w:sz w:val="32"/>
          <w:szCs w:val="32"/>
        </w:rPr>
        <w:t>政策、标准并组织实施，拟订社会福利机构管理办法，拟订残疾人权益保护政策并监督实施，参与拟订残疾人集中就业扶持政策。牵头推进精神障碍社区康复服务工作。指导并监督残疾人社会福利机构、</w:t>
      </w:r>
      <w:r>
        <w:rPr>
          <w:rFonts w:ascii="仿宋" w:hAnsi="仿宋" w:eastAsia="仿宋" w:cs="仿宋_GB2312"/>
          <w:sz w:val="32"/>
          <w:szCs w:val="32"/>
        </w:rPr>
        <w:t xml:space="preserve"> </w:t>
      </w:r>
      <w:r>
        <w:rPr>
          <w:rFonts w:hint="eastAsia" w:ascii="仿宋" w:hAnsi="仿宋" w:eastAsia="仿宋" w:cs="仿宋_GB2312"/>
          <w:sz w:val="32"/>
          <w:szCs w:val="32"/>
        </w:rPr>
        <w:t>民政精神卫生福利机构管理工作。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负责康复辅助器具行业管理，拟订康复辅助器具产业发展规划、政策、标准并组织实施。承担康复辅助器具行业和残疾人社会福利机构、民政精神卫生福利机构安全生产监督管理工作。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负责生活无着流浪乞讨人员救助工作，指导并监督生活无着流浪乞讨人员救助管理机构管理工作，协调跨县（区）生活无着流浪乞讨人员救助事务，指导开展家庭暴力受害人临时庇护救助工作。承担生活无着流浪乞讨人员救助管理机构安全生产监督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拟订儿童福利、孤弃儿童保障、儿童收养、儿童救助保护政策和标准并组织实施，健全农村留守儿童关爱服务体系和困境儿童保障制度。指导并监督儿童福利、收养登记、流浪未成年人救助保护机构管理工作。承担儿童福利、流浪未成年人救助保护机构安全生产监督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拟订全区养老服务体系建设规划、政策、标准并组织实施，拟订老年人福利补贴制度和老年人权益保障政策并监督实施，健全为老志愿服务制度。承担老年人福利和特殊困难老年人救助、帮扶、关爱工作，协调推进农村留守老年人关爱服务工作。指导并监督养老服务、老年人福利、特困人员救助供养机构管理工作。承担城乡老年社会组织管理工作，组织开展老年人教育和敬老、孝老、爱老宣传工作。承担养老服务机构安全生产监督管理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党总支部。负责机关和所属事业单位的党群工作。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区民政局行政编制</w:t>
      </w:r>
      <w:r>
        <w:rPr>
          <w:rFonts w:ascii="仿宋" w:hAnsi="仿宋" w:eastAsia="仿宋" w:cs="仿宋_GB2312"/>
          <w:sz w:val="32"/>
          <w:szCs w:val="32"/>
        </w:rPr>
        <w:t xml:space="preserve"> 6 </w:t>
      </w:r>
      <w:r>
        <w:rPr>
          <w:rFonts w:hint="eastAsia" w:ascii="仿宋" w:hAnsi="仿宋" w:eastAsia="仿宋" w:cs="仿宋_GB2312"/>
          <w:sz w:val="32"/>
          <w:szCs w:val="32"/>
        </w:rPr>
        <w:t>名，其中：局长</w:t>
      </w:r>
      <w:r>
        <w:rPr>
          <w:rFonts w:ascii="仿宋" w:hAnsi="仿宋" w:eastAsia="仿宋" w:cs="仿宋_GB2312"/>
          <w:sz w:val="32"/>
          <w:szCs w:val="32"/>
        </w:rPr>
        <w:t xml:space="preserve"> 1 </w:t>
      </w:r>
      <w:r>
        <w:rPr>
          <w:rFonts w:hint="eastAsia" w:ascii="仿宋" w:hAnsi="仿宋" w:eastAsia="仿宋" w:cs="仿宋_GB2312"/>
          <w:sz w:val="32"/>
          <w:szCs w:val="32"/>
        </w:rPr>
        <w:t>名，党总支书记</w:t>
      </w:r>
      <w:r>
        <w:rPr>
          <w:rFonts w:ascii="仿宋" w:hAnsi="仿宋" w:eastAsia="仿宋" w:cs="仿宋_GB2312"/>
          <w:sz w:val="32"/>
          <w:szCs w:val="32"/>
        </w:rPr>
        <w:t xml:space="preserve"> 1 </w:t>
      </w:r>
      <w:r>
        <w:rPr>
          <w:rFonts w:hint="eastAsia" w:ascii="仿宋" w:hAnsi="仿宋" w:eastAsia="仿宋" w:cs="仿宋_GB2312"/>
          <w:sz w:val="32"/>
          <w:szCs w:val="32"/>
        </w:rPr>
        <w:t>名，副局长</w:t>
      </w:r>
      <w:r>
        <w:rPr>
          <w:rFonts w:ascii="仿宋" w:hAnsi="仿宋" w:eastAsia="仿宋" w:cs="仿宋_GB2312"/>
          <w:sz w:val="32"/>
          <w:szCs w:val="32"/>
        </w:rPr>
        <w:t xml:space="preserve"> 2 </w:t>
      </w:r>
      <w:r>
        <w:rPr>
          <w:rFonts w:hint="eastAsia" w:ascii="仿宋" w:hAnsi="仿宋" w:eastAsia="仿宋" w:cs="仿宋_GB2312"/>
          <w:sz w:val="32"/>
          <w:szCs w:val="32"/>
        </w:rPr>
        <w:t>名。</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机关后勤服务人员控制数</w:t>
      </w:r>
      <w:r>
        <w:rPr>
          <w:rFonts w:ascii="仿宋" w:hAnsi="仿宋" w:eastAsia="仿宋" w:cs="仿宋_GB2312"/>
          <w:sz w:val="32"/>
          <w:szCs w:val="32"/>
        </w:rPr>
        <w:t xml:space="preserve"> 1 </w:t>
      </w:r>
      <w:r>
        <w:rPr>
          <w:rFonts w:hint="eastAsia" w:ascii="仿宋" w:hAnsi="仿宋" w:eastAsia="仿宋" w:cs="仿宋_GB2312"/>
          <w:sz w:val="32"/>
          <w:szCs w:val="32"/>
        </w:rPr>
        <w:t>名。</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（一）部门财政资金收入情况。</w:t>
      </w: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6731.48</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年相比，收入总计增加</w:t>
      </w:r>
      <w:r>
        <w:rPr>
          <w:rFonts w:ascii="仿宋" w:hAnsi="仿宋" w:eastAsia="仿宋"/>
          <w:color w:val="000000"/>
          <w:sz w:val="32"/>
          <w:szCs w:val="32"/>
        </w:rPr>
        <w:t>134</w:t>
      </w:r>
      <w:r>
        <w:rPr>
          <w:rFonts w:hint="eastAsia" w:ascii="仿宋" w:hAnsi="仿宋" w:eastAsia="仿宋"/>
          <w:color w:val="000000"/>
          <w:sz w:val="32"/>
          <w:szCs w:val="32"/>
        </w:rPr>
        <w:t>万元，增长</w:t>
      </w:r>
      <w:r>
        <w:rPr>
          <w:rFonts w:ascii="仿宋" w:hAnsi="仿宋" w:eastAsia="仿宋"/>
          <w:color w:val="000000"/>
          <w:sz w:val="32"/>
          <w:szCs w:val="32"/>
        </w:rPr>
        <w:t>2%</w:t>
      </w:r>
      <w:r>
        <w:rPr>
          <w:rFonts w:hint="eastAsia" w:ascii="仿宋" w:hAnsi="仿宋" w:eastAsia="仿宋"/>
          <w:color w:val="000000"/>
          <w:sz w:val="32"/>
          <w:szCs w:val="32"/>
        </w:rPr>
        <w:t>，与</w:t>
      </w:r>
      <w:r>
        <w:rPr>
          <w:rFonts w:ascii="仿宋" w:hAnsi="仿宋" w:eastAsia="仿宋"/>
          <w:color w:val="000000"/>
          <w:sz w:val="32"/>
          <w:szCs w:val="32"/>
        </w:rPr>
        <w:t>2017</w:t>
      </w:r>
      <w:r>
        <w:rPr>
          <w:rFonts w:hint="eastAsia" w:ascii="仿宋" w:hAnsi="仿宋" w:eastAsia="仿宋"/>
          <w:color w:val="000000"/>
          <w:sz w:val="32"/>
          <w:szCs w:val="32"/>
        </w:rPr>
        <w:t>年度基本持平。</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（二）部门财政资金支出情况。</w:t>
      </w:r>
      <w:r>
        <w:rPr>
          <w:rFonts w:ascii="仿宋" w:hAnsi="仿宋" w:eastAsia="仿宋"/>
          <w:color w:val="000000"/>
          <w:sz w:val="32"/>
          <w:szCs w:val="32"/>
        </w:rPr>
        <w:t>2018</w:t>
      </w:r>
      <w:r>
        <w:rPr>
          <w:rFonts w:hint="eastAsia" w:ascii="仿宋" w:hAnsi="仿宋" w:eastAsia="仿宋"/>
          <w:color w:val="000000"/>
          <w:sz w:val="32"/>
          <w:szCs w:val="32"/>
        </w:rPr>
        <w:t>年度支出总计</w:t>
      </w:r>
      <w:r>
        <w:rPr>
          <w:rFonts w:ascii="仿宋" w:hAnsi="仿宋" w:eastAsia="仿宋"/>
          <w:color w:val="000000"/>
          <w:sz w:val="32"/>
          <w:szCs w:val="32"/>
        </w:rPr>
        <w:t>6793.51</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年相比，支出总计增加</w:t>
      </w:r>
      <w:r>
        <w:rPr>
          <w:rFonts w:ascii="仿宋" w:hAnsi="仿宋" w:eastAsia="仿宋"/>
          <w:color w:val="000000"/>
          <w:sz w:val="32"/>
          <w:szCs w:val="32"/>
        </w:rPr>
        <w:t>848.6</w:t>
      </w:r>
      <w:r>
        <w:rPr>
          <w:rFonts w:hint="eastAsia" w:ascii="仿宋" w:hAnsi="仿宋" w:eastAsia="仿宋"/>
          <w:color w:val="000000"/>
          <w:sz w:val="32"/>
          <w:szCs w:val="32"/>
        </w:rPr>
        <w:t>万元，增长</w:t>
      </w:r>
      <w:r>
        <w:rPr>
          <w:rFonts w:ascii="仿宋" w:hAnsi="仿宋" w:eastAsia="仿宋"/>
          <w:color w:val="000000"/>
          <w:sz w:val="32"/>
          <w:szCs w:val="32"/>
        </w:rPr>
        <w:t>14.27%</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按政策为城乡低保对象、农村五保对象、城乡低收入家庭等民政救助对象实施救助。</w:t>
      </w:r>
      <w:r>
        <w:rPr>
          <w:rFonts w:hint="eastAsia" w:ascii="仿宋_GB2312" w:hAnsi="仿宋" w:eastAsia="仿宋_GB2312" w:cs="Arial"/>
          <w:color w:val="020C02"/>
          <w:kern w:val="0"/>
          <w:sz w:val="32"/>
          <w:szCs w:val="32"/>
        </w:rPr>
        <w:t>着力解决城乡困难群众最关心、最现实、最迫切的基本保障问题，努力实现困难群众救助的目标。</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pPr>
        <w:spacing w:line="360" w:lineRule="atLeast"/>
        <w:ind w:firstLine="976" w:firstLineChars="30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实行专款专用，不得挪用，及时发放。</w:t>
      </w:r>
    </w:p>
    <w:p>
      <w:pPr>
        <w:spacing w:line="580" w:lineRule="exact"/>
        <w:ind w:firstLine="640" w:firstLineChars="200"/>
        <w:rPr>
          <w:rFonts w:ascii="仿宋" w:hAnsi="仿宋" w:eastAsia="仿宋" w:cs="仿宋_GB2312"/>
          <w:sz w:val="32"/>
          <w:szCs w:val="32"/>
        </w:rPr>
      </w:pPr>
      <w:r>
        <w:rPr>
          <w:rFonts w:ascii="仿宋_GB2312" w:hAnsi="仿宋" w:eastAsia="仿宋_GB2312"/>
          <w:sz w:val="32"/>
          <w:szCs w:val="32"/>
        </w:rPr>
        <w:t xml:space="preserve">  2.</w:t>
      </w:r>
      <w:r>
        <w:rPr>
          <w:rFonts w:hint="eastAsia" w:ascii="仿宋_GB2312" w:hAnsi="仿宋" w:eastAsia="仿宋_GB2312"/>
          <w:sz w:val="32"/>
          <w:szCs w:val="32"/>
        </w:rPr>
        <w:t>严格按照符合医疗补助对象审批、审核，公开透明，并建立专门的城乡医疗救助补助资金台帐和档案资料。</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帮助城乡低保对象、农村五保对象、城乡低收入家庭等民政救助对象及时得到救助。</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pPr>
        <w:widowControl/>
        <w:shd w:val="clear" w:color="auto" w:fill="FFFFFF"/>
        <w:spacing w:line="360" w:lineRule="atLeas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（一）加大力度管理好资金的来去。认真落实将补助资金拨付到更需要救助的困难群众中去。</w:t>
      </w:r>
    </w:p>
    <w:p>
      <w:pPr>
        <w:spacing w:line="360" w:lineRule="atLeas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（二）科室和财务人员对救助补助资金的使用情况做一个更合理、更完善的统计和支付。</w:t>
      </w:r>
    </w:p>
    <w:p>
      <w:pPr>
        <w:spacing w:line="580" w:lineRule="exact"/>
        <w:ind w:firstLine="640" w:firstLineChars="200"/>
        <w:rPr>
          <w:rFonts w:ascii="仿宋_GB2312" w:hAnsi="仿宋_GB2312" w:eastAsia="仿宋_GB2312" w:cs="仿宋_GB2312"/>
          <w:sz w:val="32"/>
          <w:szCs w:val="32"/>
        </w:rPr>
      </w:pPr>
      <w:r>
        <w:rPr>
          <w:rFonts w:hint="eastAsia" w:ascii="仿宋_GB2312" w:hAnsi="仿宋" w:eastAsia="仿宋_GB2312" w:cs="宋体"/>
          <w:kern w:val="0"/>
          <w:sz w:val="32"/>
          <w:szCs w:val="32"/>
        </w:rPr>
        <w:t>（三）</w:t>
      </w:r>
      <w:r>
        <w:rPr>
          <w:rFonts w:hint="eastAsia" w:ascii="仿宋_GB2312" w:hAnsi="仿宋" w:eastAsia="仿宋_GB2312"/>
          <w:sz w:val="32"/>
          <w:szCs w:val="32"/>
        </w:rPr>
        <w:t>建议加大对救助专项资金的投入力度，以便更好的开展民政救助对象救助工作。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16"/>
          <w:rFonts w:ascii="仿宋" w:hAnsi="仿宋" w:eastAsia="仿宋"/>
          <w:b w:val="0"/>
          <w:bCs w:val="0"/>
          <w:sz w:val="32"/>
          <w:szCs w:val="32"/>
        </w:rPr>
      </w:pPr>
      <w:bookmarkStart w:id="71" w:name="_Toc15396617"/>
      <w:r>
        <w:rPr>
          <w:rStyle w:val="16"/>
          <w:rFonts w:hint="eastAsia" w:ascii="仿宋" w:hAnsi="仿宋" w:eastAsia="仿宋"/>
          <w:b w:val="0"/>
          <w:bCs w:val="0"/>
          <w:sz w:val="32"/>
          <w:szCs w:val="32"/>
        </w:rPr>
        <w:t>附件</w:t>
      </w:r>
      <w:r>
        <w:rPr>
          <w:rStyle w:val="16"/>
          <w:rFonts w:ascii="仿宋" w:hAnsi="仿宋" w:eastAsia="仿宋"/>
          <w:b w:val="0"/>
          <w:bCs w:val="0"/>
          <w:sz w:val="32"/>
          <w:szCs w:val="32"/>
        </w:rPr>
        <w:t>2</w:t>
      </w:r>
      <w:bookmarkEnd w:id="71"/>
    </w:p>
    <w:p>
      <w:pPr>
        <w:spacing w:line="580" w:lineRule="exact"/>
        <w:jc w:val="center"/>
        <w:rPr>
          <w:rFonts w:ascii="黑体" w:hAnsi="黑体" w:eastAsia="黑体" w:cs="方正小标宋简体"/>
          <w:sz w:val="44"/>
          <w:szCs w:val="44"/>
        </w:rPr>
      </w:pPr>
      <w:r>
        <w:rPr>
          <w:rFonts w:ascii="黑体" w:hAnsi="黑体" w:eastAsia="黑体" w:cs="方正小标宋简体"/>
          <w:sz w:val="44"/>
          <w:szCs w:val="44"/>
        </w:rPr>
        <w:t>2018</w:t>
      </w:r>
      <w:r>
        <w:rPr>
          <w:rFonts w:hint="eastAsia" w:ascii="黑体" w:hAnsi="黑体" w:eastAsia="黑体" w:cs="方正小标宋简体"/>
          <w:sz w:val="44"/>
          <w:szCs w:val="44"/>
        </w:rPr>
        <w:t>年医疗救助项目支出绩效评价报告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一、评价工作开展及项目情况</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宋体"/>
          <w:color w:val="000000"/>
          <w:kern w:val="0"/>
          <w:sz w:val="32"/>
          <w:szCs w:val="32"/>
          <w:shd w:val="clear" w:color="auto" w:fill="FFFFFF"/>
        </w:rPr>
        <w:t>救助对象在医保定点医院发生的本自然年度的住院医疗费用，扣除各种社会保险赔付的医疗金、相关部门的补助、社会各界捐赠的资金后，其医保报销范围内个人承担部分，按</w:t>
      </w:r>
      <w:r>
        <w:rPr>
          <w:rFonts w:ascii="仿宋_GB2312" w:hAnsi="仿宋" w:eastAsia="仿宋_GB2312" w:cs="宋体"/>
          <w:color w:val="000000"/>
          <w:kern w:val="0"/>
          <w:sz w:val="32"/>
          <w:szCs w:val="32"/>
          <w:shd w:val="clear" w:color="auto" w:fill="FFFFFF"/>
        </w:rPr>
        <w:t xml:space="preserve"> 70%</w:t>
      </w:r>
      <w:r>
        <w:rPr>
          <w:rFonts w:hint="eastAsia" w:ascii="仿宋_GB2312" w:hAnsi="仿宋" w:eastAsia="仿宋_GB2312" w:cs="宋体"/>
          <w:color w:val="000000"/>
          <w:kern w:val="0"/>
          <w:sz w:val="32"/>
          <w:szCs w:val="32"/>
          <w:shd w:val="clear" w:color="auto" w:fill="FFFFFF"/>
        </w:rPr>
        <w:t>的比例进行救助，每人每年累计救助最高不超过</w:t>
      </w:r>
      <w:r>
        <w:rPr>
          <w:rFonts w:ascii="仿宋_GB2312" w:hAnsi="仿宋" w:eastAsia="仿宋_GB2312" w:cs="宋体"/>
          <w:color w:val="000000"/>
          <w:kern w:val="0"/>
          <w:sz w:val="32"/>
          <w:szCs w:val="32"/>
          <w:shd w:val="clear" w:color="auto" w:fill="FFFFFF"/>
        </w:rPr>
        <w:t xml:space="preserve"> 5 </w:t>
      </w:r>
      <w:r>
        <w:rPr>
          <w:rFonts w:hint="eastAsia" w:ascii="仿宋_GB2312" w:hAnsi="仿宋" w:eastAsia="仿宋_GB2312" w:cs="宋体"/>
          <w:color w:val="000000"/>
          <w:kern w:val="0"/>
          <w:sz w:val="32"/>
          <w:szCs w:val="32"/>
          <w:shd w:val="clear" w:color="auto" w:fill="FFFFFF"/>
        </w:rPr>
        <w:t>万元。</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二、评价结论及绩效分析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宋体"/>
          <w:color w:val="000000"/>
          <w:kern w:val="0"/>
          <w:sz w:val="32"/>
          <w:szCs w:val="32"/>
          <w:shd w:val="clear" w:color="auto" w:fill="FFFFFF"/>
        </w:rPr>
        <w:t>为切实缓解城乡困难群众重特大疾病住院医疗费用负担重的问题，进一步完善城乡新型社会救助体系，及时对仁和区城乡医疗救助项目进行评价。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、项目决策</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按政策为城乡低保对象、农村五保对象、城乡低收入边缘困难家庭成员实施住院医疗救助。</w:t>
      </w:r>
      <w:r>
        <w:rPr>
          <w:rFonts w:hint="eastAsia" w:ascii="仿宋_GB2312" w:hAnsi="仿宋" w:eastAsia="仿宋_GB2312"/>
          <w:color w:val="000000"/>
          <w:sz w:val="32"/>
          <w:szCs w:val="32"/>
        </w:rPr>
        <w:t>仁和区城乡医疗救助补助资金，是</w:t>
      </w:r>
      <w:r>
        <w:rPr>
          <w:rFonts w:hint="eastAsia" w:ascii="仿宋_GB2312" w:hAnsi="仿宋" w:eastAsia="仿宋_GB2312" w:cs="Arial"/>
          <w:color w:val="020C02"/>
          <w:kern w:val="0"/>
          <w:sz w:val="32"/>
          <w:szCs w:val="32"/>
        </w:rPr>
        <w:t>以中央的方针，着力解决城乡困难群众最关心、最现实、最迫切的基本医疗保障问题，努力实现困难群众“病有所医”的目标。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、项目管理</w:t>
      </w:r>
    </w:p>
    <w:p>
      <w:pPr>
        <w:spacing w:line="360" w:lineRule="atLeast"/>
        <w:ind w:firstLine="976" w:firstLineChars="305"/>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实行专款专用，不得挪用，及时发放。</w:t>
      </w:r>
    </w:p>
    <w:p>
      <w:pPr>
        <w:spacing w:line="580" w:lineRule="exact"/>
        <w:ind w:firstLine="640" w:firstLineChars="200"/>
        <w:rPr>
          <w:rFonts w:ascii="仿宋" w:hAnsi="仿宋" w:eastAsia="仿宋" w:cs="仿宋_GB2312"/>
          <w:sz w:val="32"/>
          <w:szCs w:val="32"/>
        </w:rPr>
      </w:pPr>
      <w:r>
        <w:rPr>
          <w:rFonts w:ascii="仿宋_GB2312" w:hAnsi="仿宋" w:eastAsia="仿宋_GB2312"/>
          <w:sz w:val="32"/>
          <w:szCs w:val="32"/>
        </w:rPr>
        <w:t xml:space="preserve">  2.</w:t>
      </w:r>
      <w:r>
        <w:rPr>
          <w:rFonts w:hint="eastAsia" w:ascii="仿宋_GB2312" w:hAnsi="仿宋" w:eastAsia="仿宋_GB2312"/>
          <w:sz w:val="32"/>
          <w:szCs w:val="32"/>
        </w:rPr>
        <w:t>严格按照符合医疗补助对象审批、审核，公开透明，并建立专门的城乡医疗救助补助资金台帐和档案资料。</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、项目绩效</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rPr>
        <w:t>帮助城乡低保对象、农村五保对象、城乡低收入边缘困难家庭成员一定程度上解决了住院费用支出大的问题，让困难群众不在为医疗资金无法医治方面感到困惑。</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三、存在主要问题</w:t>
      </w:r>
    </w:p>
    <w:p>
      <w:pPr>
        <w:spacing w:line="360" w:lineRule="atLeast"/>
        <w:ind w:firstLine="627" w:firstLineChars="196"/>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（一）仁和区的农村人口居多，农村收入低，困难群众生病多。</w:t>
      </w:r>
    </w:p>
    <w:p>
      <w:pPr>
        <w:widowControl/>
        <w:shd w:val="clear" w:color="auto" w:fill="FFFFFF"/>
        <w:spacing w:line="360" w:lineRule="atLeas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（一）近年来因医疗救助就病就医的人群比较多，而资金有限，不能够满足广大困难群众的需求。</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cs="宋体"/>
          <w:kern w:val="0"/>
          <w:sz w:val="32"/>
          <w:szCs w:val="32"/>
        </w:rPr>
        <w:t>（三）需要很好地发挥城乡医疗救助补助资金的作用。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四、相关措施建议</w:t>
      </w:r>
    </w:p>
    <w:p>
      <w:pPr>
        <w:widowControl/>
        <w:shd w:val="clear" w:color="auto" w:fill="FFFFFF"/>
        <w:spacing w:line="360" w:lineRule="atLeas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（一）加大力度管理好资金的来去。认真落实将补助资金拨付到更需要救助的困难群众中去。</w:t>
      </w:r>
    </w:p>
    <w:p>
      <w:pPr>
        <w:spacing w:line="360" w:lineRule="atLeast"/>
        <w:ind w:firstLine="645"/>
        <w:rPr>
          <w:rFonts w:ascii="仿宋_GB2312" w:hAnsi="仿宋" w:eastAsia="仿宋_GB2312" w:cs="宋体"/>
          <w:kern w:val="0"/>
          <w:sz w:val="32"/>
          <w:szCs w:val="32"/>
        </w:rPr>
      </w:pPr>
      <w:r>
        <w:rPr>
          <w:rFonts w:hint="eastAsia" w:ascii="仿宋_GB2312" w:hAnsi="仿宋" w:eastAsia="仿宋_GB2312" w:cs="宋体"/>
          <w:kern w:val="0"/>
          <w:sz w:val="32"/>
          <w:szCs w:val="32"/>
        </w:rPr>
        <w:t>（二）科室和财务人员对城乡医疗救助补助资金的使用情况做一个更合理、更完善的统计和支付。</w:t>
      </w:r>
    </w:p>
    <w:p>
      <w:pPr>
        <w:spacing w:line="58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rPr>
        <w:t>（三）</w:t>
      </w:r>
      <w:r>
        <w:rPr>
          <w:rFonts w:hint="eastAsia" w:ascii="仿宋_GB2312" w:hAnsi="仿宋" w:eastAsia="仿宋_GB2312"/>
          <w:sz w:val="32"/>
          <w:szCs w:val="32"/>
        </w:rPr>
        <w:t>建议加大对城乡医疗救助专项资金的投入力度，以便更好的开展城乡医疗救助工作。</w:t>
      </w:r>
    </w:p>
    <w:p>
      <w:pPr>
        <w:spacing w:line="580" w:lineRule="exact"/>
        <w:ind w:firstLine="640" w:firstLineChars="200"/>
        <w:rPr>
          <w:rFonts w:ascii="仿宋_GB2312" w:hAnsi="仿宋" w:eastAsia="仿宋_GB2312"/>
          <w:sz w:val="32"/>
          <w:szCs w:val="32"/>
        </w:rPr>
      </w:pPr>
    </w:p>
    <w:p>
      <w:pPr>
        <w:spacing w:line="580" w:lineRule="exact"/>
        <w:ind w:firstLine="640" w:firstLineChars="200"/>
        <w:rPr>
          <w:rFonts w:ascii="仿宋_GB2312" w:hAnsi="仿宋" w:eastAsia="仿宋_GB2312"/>
          <w:sz w:val="32"/>
          <w:szCs w:val="32"/>
        </w:rPr>
      </w:pPr>
    </w:p>
    <w:p>
      <w:pPr>
        <w:spacing w:line="580" w:lineRule="exact"/>
        <w:ind w:firstLine="640" w:firstLineChars="200"/>
        <w:rPr>
          <w:rStyle w:val="16"/>
          <w:rFonts w:ascii="仿宋" w:hAnsi="仿宋" w:eastAsia="仿宋" w:cs="仿宋_GB2312"/>
          <w:b w:val="0"/>
          <w:bCs w:val="0"/>
          <w:kern w:val="2"/>
          <w:sz w:val="32"/>
          <w:szCs w:val="32"/>
        </w:rPr>
      </w:pPr>
    </w:p>
    <w:p>
      <w:pPr>
        <w:spacing w:line="600" w:lineRule="exact"/>
        <w:jc w:val="center"/>
        <w:outlineLvl w:val="0"/>
        <w:rPr>
          <w:rStyle w:val="16"/>
          <w:rFonts w:ascii="黑体" w:hAnsi="黑体" w:eastAsia="黑体"/>
          <w:b w:val="0"/>
        </w:rPr>
      </w:pPr>
      <w:bookmarkStart w:id="72" w:name="_Toc15396618"/>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7"/>
      <w:bookmarkEnd w:id="72"/>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73" w:name="_Toc15396619"/>
      <w:r>
        <w:rPr>
          <w:rFonts w:hint="eastAsia" w:ascii="仿宋" w:hAnsi="仿宋" w:eastAsia="仿宋"/>
          <w:b w:val="0"/>
          <w:color w:val="000000"/>
        </w:rPr>
        <w:t>一、收</w:t>
      </w:r>
      <w:r>
        <w:rPr>
          <w:rStyle w:val="17"/>
          <w:rFonts w:hint="eastAsia" w:ascii="仿宋" w:hAnsi="仿宋" w:eastAsia="仿宋"/>
          <w:b w:val="0"/>
          <w:bCs w:val="0"/>
        </w:rPr>
        <w:t>入支出决算总表</w:t>
      </w:r>
      <w:bookmarkEnd w:id="73"/>
    </w:p>
    <w:p>
      <w:pPr>
        <w:pStyle w:val="3"/>
        <w:rPr>
          <w:rFonts w:ascii="仿宋" w:hAnsi="仿宋" w:eastAsia="仿宋"/>
          <w:color w:val="000000"/>
        </w:rPr>
      </w:pPr>
      <w:bookmarkStart w:id="74" w:name="_Toc15396620"/>
      <w:r>
        <w:rPr>
          <w:rFonts w:hint="eastAsia" w:ascii="仿宋" w:hAnsi="仿宋" w:eastAsia="仿宋"/>
          <w:b w:val="0"/>
          <w:color w:val="000000"/>
        </w:rPr>
        <w:t>二、收</w:t>
      </w:r>
      <w:r>
        <w:rPr>
          <w:rStyle w:val="17"/>
          <w:rFonts w:hint="eastAsia" w:ascii="仿宋" w:hAnsi="仿宋" w:eastAsia="仿宋"/>
          <w:b w:val="0"/>
          <w:bCs w:val="0"/>
        </w:rPr>
        <w:t>入总表</w:t>
      </w:r>
      <w:bookmarkEnd w:id="74"/>
    </w:p>
    <w:p>
      <w:pPr>
        <w:pStyle w:val="3"/>
        <w:rPr>
          <w:rFonts w:ascii="仿宋" w:hAnsi="仿宋" w:eastAsia="仿宋"/>
          <w:color w:val="000000"/>
        </w:rPr>
      </w:pPr>
      <w:bookmarkStart w:id="75" w:name="_Toc15396621"/>
      <w:r>
        <w:rPr>
          <w:rStyle w:val="17"/>
          <w:rFonts w:hint="eastAsia" w:ascii="仿宋" w:hAnsi="仿宋" w:eastAsia="仿宋"/>
          <w:b w:val="0"/>
          <w:bCs w:val="0"/>
        </w:rPr>
        <w:t>三、</w:t>
      </w:r>
      <w:r>
        <w:rPr>
          <w:rFonts w:hint="eastAsia" w:ascii="仿宋" w:hAnsi="仿宋" w:eastAsia="仿宋"/>
          <w:b w:val="0"/>
          <w:color w:val="000000"/>
        </w:rPr>
        <w:t>支</w:t>
      </w:r>
      <w:r>
        <w:rPr>
          <w:rStyle w:val="17"/>
          <w:rFonts w:hint="eastAsia" w:ascii="仿宋" w:hAnsi="仿宋" w:eastAsia="仿宋"/>
          <w:b w:val="0"/>
          <w:bCs w:val="0"/>
        </w:rPr>
        <w:t>出总表</w:t>
      </w:r>
      <w:bookmarkEnd w:id="75"/>
    </w:p>
    <w:p>
      <w:pPr>
        <w:pStyle w:val="3"/>
        <w:rPr>
          <w:rFonts w:ascii="仿宋" w:hAnsi="仿宋" w:eastAsia="仿宋"/>
          <w:b w:val="0"/>
          <w:color w:val="000000"/>
        </w:rPr>
      </w:pPr>
      <w:bookmarkStart w:id="76" w:name="_Toc15396622"/>
      <w:r>
        <w:rPr>
          <w:rStyle w:val="17"/>
          <w:rFonts w:hint="eastAsia" w:ascii="仿宋" w:hAnsi="仿宋" w:eastAsia="仿宋"/>
          <w:b w:val="0"/>
          <w:bCs w:val="0"/>
        </w:rPr>
        <w:t>四、</w:t>
      </w:r>
      <w:r>
        <w:rPr>
          <w:rFonts w:hint="eastAsia" w:ascii="仿宋" w:hAnsi="仿宋" w:eastAsia="仿宋"/>
          <w:b w:val="0"/>
          <w:color w:val="000000"/>
        </w:rPr>
        <w:t>财</w:t>
      </w:r>
      <w:r>
        <w:rPr>
          <w:rStyle w:val="17"/>
          <w:rFonts w:hint="eastAsia" w:ascii="仿宋" w:hAnsi="仿宋" w:eastAsia="仿宋"/>
          <w:b w:val="0"/>
          <w:bCs w:val="0"/>
        </w:rPr>
        <w:t>政拨款收入支出决算总表</w:t>
      </w:r>
      <w:bookmarkEnd w:id="76"/>
    </w:p>
    <w:p>
      <w:pPr>
        <w:pStyle w:val="3"/>
        <w:rPr>
          <w:rFonts w:ascii="仿宋" w:hAnsi="仿宋" w:eastAsia="仿宋"/>
          <w:color w:val="000000"/>
        </w:rPr>
      </w:pPr>
      <w:bookmarkStart w:id="77" w:name="_Toc15396623"/>
      <w:r>
        <w:rPr>
          <w:rStyle w:val="17"/>
          <w:rFonts w:hint="eastAsia" w:ascii="仿宋" w:hAnsi="仿宋" w:eastAsia="仿宋"/>
          <w:b w:val="0"/>
          <w:bCs w:val="0"/>
        </w:rPr>
        <w:t>五、</w:t>
      </w:r>
      <w:r>
        <w:rPr>
          <w:rFonts w:hint="eastAsia" w:ascii="仿宋" w:hAnsi="仿宋" w:eastAsia="仿宋"/>
          <w:b w:val="0"/>
          <w:color w:val="000000"/>
        </w:rPr>
        <w:t>财</w:t>
      </w:r>
      <w:r>
        <w:rPr>
          <w:rStyle w:val="17"/>
          <w:rFonts w:hint="eastAsia" w:ascii="仿宋" w:hAnsi="仿宋" w:eastAsia="仿宋"/>
          <w:b w:val="0"/>
          <w:bCs w:val="0"/>
        </w:rPr>
        <w:t>政拨款支出决算明细表（政府经济分类科目）</w:t>
      </w:r>
      <w:bookmarkEnd w:id="77"/>
    </w:p>
    <w:p>
      <w:pPr>
        <w:pStyle w:val="3"/>
        <w:rPr>
          <w:rFonts w:ascii="仿宋" w:hAnsi="仿宋" w:eastAsia="仿宋"/>
          <w:color w:val="000000"/>
        </w:rPr>
      </w:pPr>
      <w:bookmarkStart w:id="78" w:name="_Toc15396624"/>
      <w:r>
        <w:rPr>
          <w:rStyle w:val="17"/>
          <w:rFonts w:hint="eastAsia" w:ascii="仿宋" w:hAnsi="仿宋" w:eastAsia="仿宋"/>
          <w:b w:val="0"/>
          <w:bCs w:val="0"/>
        </w:rPr>
        <w:t>六、</w:t>
      </w:r>
      <w:r>
        <w:rPr>
          <w:rFonts w:hint="eastAsia" w:ascii="仿宋" w:hAnsi="仿宋" w:eastAsia="仿宋"/>
          <w:b w:val="0"/>
          <w:color w:val="000000"/>
        </w:rPr>
        <w:t>一</w:t>
      </w:r>
      <w:r>
        <w:rPr>
          <w:rStyle w:val="17"/>
          <w:rFonts w:hint="eastAsia" w:ascii="仿宋" w:hAnsi="仿宋" w:eastAsia="仿宋"/>
          <w:b w:val="0"/>
          <w:bCs w:val="0"/>
        </w:rPr>
        <w:t>般公共预算财政拨款支出决算表</w:t>
      </w:r>
      <w:bookmarkEnd w:id="78"/>
    </w:p>
    <w:p>
      <w:pPr>
        <w:pStyle w:val="3"/>
        <w:rPr>
          <w:rFonts w:ascii="仿宋" w:hAnsi="仿宋" w:eastAsia="仿宋"/>
          <w:color w:val="000000"/>
        </w:rPr>
      </w:pPr>
      <w:bookmarkStart w:id="79" w:name="_Toc15396625"/>
      <w:r>
        <w:rPr>
          <w:rStyle w:val="17"/>
          <w:rFonts w:hint="eastAsia" w:ascii="仿宋" w:hAnsi="仿宋" w:eastAsia="仿宋"/>
          <w:b w:val="0"/>
          <w:bCs w:val="0"/>
        </w:rPr>
        <w:t>七、</w:t>
      </w:r>
      <w:r>
        <w:rPr>
          <w:rFonts w:hint="eastAsia" w:ascii="仿宋" w:hAnsi="仿宋" w:eastAsia="仿宋"/>
          <w:b w:val="0"/>
          <w:color w:val="000000"/>
        </w:rPr>
        <w:t>一</w:t>
      </w:r>
      <w:r>
        <w:rPr>
          <w:rStyle w:val="17"/>
          <w:rFonts w:hint="eastAsia" w:ascii="仿宋" w:hAnsi="仿宋" w:eastAsia="仿宋"/>
          <w:b w:val="0"/>
          <w:bCs w:val="0"/>
        </w:rPr>
        <w:t>般公共预算财政拨款支出决算明细表</w:t>
      </w:r>
      <w:bookmarkEnd w:id="79"/>
    </w:p>
    <w:p>
      <w:pPr>
        <w:pStyle w:val="3"/>
        <w:rPr>
          <w:rFonts w:ascii="仿宋" w:hAnsi="仿宋" w:eastAsia="仿宋"/>
          <w:color w:val="000000"/>
        </w:rPr>
      </w:pPr>
      <w:bookmarkStart w:id="80" w:name="_Toc15396626"/>
      <w:r>
        <w:rPr>
          <w:rStyle w:val="17"/>
          <w:rFonts w:hint="eastAsia" w:ascii="仿宋" w:hAnsi="仿宋" w:eastAsia="仿宋"/>
          <w:b w:val="0"/>
          <w:bCs w:val="0"/>
        </w:rPr>
        <w:t>八、</w:t>
      </w:r>
      <w:r>
        <w:rPr>
          <w:rFonts w:hint="eastAsia" w:ascii="仿宋" w:hAnsi="仿宋" w:eastAsia="仿宋"/>
          <w:b w:val="0"/>
          <w:color w:val="000000"/>
        </w:rPr>
        <w:t>一</w:t>
      </w:r>
      <w:r>
        <w:rPr>
          <w:rStyle w:val="17"/>
          <w:rFonts w:hint="eastAsia" w:ascii="仿宋" w:hAnsi="仿宋" w:eastAsia="仿宋"/>
          <w:b w:val="0"/>
          <w:bCs w:val="0"/>
        </w:rPr>
        <w:t>般公共预算财政拨款基本支出决算表</w:t>
      </w:r>
      <w:bookmarkEnd w:id="80"/>
    </w:p>
    <w:p>
      <w:pPr>
        <w:pStyle w:val="3"/>
        <w:rPr>
          <w:rFonts w:ascii="仿宋" w:hAnsi="仿宋" w:eastAsia="仿宋"/>
          <w:color w:val="000000"/>
        </w:rPr>
      </w:pPr>
      <w:bookmarkStart w:id="81" w:name="_Toc15396627"/>
      <w:r>
        <w:rPr>
          <w:rStyle w:val="17"/>
          <w:rFonts w:hint="eastAsia" w:ascii="仿宋" w:hAnsi="仿宋" w:eastAsia="仿宋"/>
          <w:b w:val="0"/>
          <w:bCs w:val="0"/>
        </w:rPr>
        <w:t>九、</w:t>
      </w:r>
      <w:r>
        <w:rPr>
          <w:rFonts w:hint="eastAsia" w:ascii="仿宋" w:hAnsi="仿宋" w:eastAsia="仿宋"/>
          <w:b w:val="0"/>
          <w:color w:val="000000"/>
        </w:rPr>
        <w:t>一</w:t>
      </w:r>
      <w:r>
        <w:rPr>
          <w:rStyle w:val="17"/>
          <w:rFonts w:hint="eastAsia" w:ascii="仿宋" w:hAnsi="仿宋" w:eastAsia="仿宋"/>
          <w:b w:val="0"/>
          <w:bCs w:val="0"/>
        </w:rPr>
        <w:t>般公共预算财政拨款项目支出决算表</w:t>
      </w:r>
      <w:bookmarkEnd w:id="81"/>
    </w:p>
    <w:p>
      <w:pPr>
        <w:pStyle w:val="3"/>
        <w:rPr>
          <w:rFonts w:ascii="仿宋" w:hAnsi="仿宋" w:eastAsia="仿宋"/>
          <w:color w:val="000000"/>
        </w:rPr>
      </w:pPr>
      <w:bookmarkStart w:id="82" w:name="_Toc15396628"/>
      <w:r>
        <w:rPr>
          <w:rStyle w:val="17"/>
          <w:rFonts w:hint="eastAsia" w:ascii="仿宋" w:hAnsi="仿宋" w:eastAsia="仿宋"/>
          <w:b w:val="0"/>
          <w:bCs w:val="0"/>
        </w:rPr>
        <w:t>十、</w:t>
      </w:r>
      <w:r>
        <w:rPr>
          <w:rFonts w:hint="eastAsia" w:ascii="仿宋" w:hAnsi="仿宋" w:eastAsia="仿宋"/>
          <w:b w:val="0"/>
          <w:color w:val="000000"/>
        </w:rPr>
        <w:t>一</w:t>
      </w:r>
      <w:r>
        <w:rPr>
          <w:rStyle w:val="17"/>
          <w:rFonts w:hint="eastAsia" w:ascii="仿宋" w:hAnsi="仿宋" w:eastAsia="仿宋"/>
          <w:b w:val="0"/>
          <w:bCs w:val="0"/>
        </w:rPr>
        <w:t>般公共预算财政拨款“三公”经费支出决算表</w:t>
      </w:r>
      <w:bookmarkEnd w:id="82"/>
    </w:p>
    <w:p>
      <w:pPr>
        <w:pStyle w:val="3"/>
        <w:rPr>
          <w:rFonts w:ascii="仿宋" w:hAnsi="仿宋" w:eastAsia="仿宋"/>
          <w:color w:val="000000"/>
        </w:rPr>
      </w:pPr>
      <w:bookmarkStart w:id="83" w:name="_Toc15396629"/>
      <w:r>
        <w:rPr>
          <w:rStyle w:val="17"/>
          <w:rFonts w:hint="eastAsia" w:ascii="仿宋" w:hAnsi="仿宋" w:eastAsia="仿宋"/>
          <w:b w:val="0"/>
          <w:bCs w:val="0"/>
        </w:rPr>
        <w:t>十一、</w:t>
      </w:r>
      <w:r>
        <w:rPr>
          <w:rFonts w:hint="eastAsia" w:ascii="仿宋" w:hAnsi="仿宋" w:eastAsia="仿宋"/>
          <w:b w:val="0"/>
          <w:color w:val="000000"/>
        </w:rPr>
        <w:t>政</w:t>
      </w:r>
      <w:r>
        <w:rPr>
          <w:rStyle w:val="17"/>
          <w:rFonts w:hint="eastAsia" w:ascii="仿宋" w:hAnsi="仿宋" w:eastAsia="仿宋"/>
          <w:b w:val="0"/>
          <w:bCs w:val="0"/>
        </w:rPr>
        <w:t>府性基金预算财政拨款收入支出决算表</w:t>
      </w:r>
      <w:bookmarkEnd w:id="83"/>
    </w:p>
    <w:p>
      <w:pPr>
        <w:pStyle w:val="3"/>
        <w:rPr>
          <w:rFonts w:ascii="仿宋" w:hAnsi="仿宋" w:eastAsia="仿宋"/>
          <w:color w:val="000000"/>
        </w:rPr>
      </w:pPr>
      <w:bookmarkStart w:id="84" w:name="_Toc15396630"/>
      <w:r>
        <w:rPr>
          <w:rStyle w:val="17"/>
          <w:rFonts w:hint="eastAsia" w:ascii="仿宋" w:hAnsi="仿宋" w:eastAsia="仿宋"/>
          <w:b w:val="0"/>
          <w:bCs w:val="0"/>
        </w:rPr>
        <w:t>十二、</w:t>
      </w:r>
      <w:r>
        <w:rPr>
          <w:rFonts w:hint="eastAsia" w:ascii="仿宋" w:hAnsi="仿宋" w:eastAsia="仿宋"/>
          <w:b w:val="0"/>
          <w:color w:val="000000"/>
        </w:rPr>
        <w:t>政</w:t>
      </w:r>
      <w:r>
        <w:rPr>
          <w:rStyle w:val="17"/>
          <w:rFonts w:hint="eastAsia" w:ascii="仿宋" w:hAnsi="仿宋" w:eastAsia="仿宋"/>
          <w:b w:val="0"/>
          <w:bCs w:val="0"/>
        </w:rPr>
        <w:t>府性基金预算财政拨款“三公”经费支出决算表</w:t>
      </w:r>
      <w:bookmarkEnd w:id="84"/>
    </w:p>
    <w:p>
      <w:pPr>
        <w:pStyle w:val="3"/>
        <w:rPr>
          <w:rFonts w:ascii="仿宋" w:hAnsi="仿宋" w:eastAsia="仿宋"/>
          <w:color w:val="000000"/>
        </w:rPr>
      </w:pPr>
      <w:bookmarkStart w:id="85" w:name="_Toc15396631"/>
      <w:r>
        <w:rPr>
          <w:rStyle w:val="17"/>
          <w:rFonts w:hint="eastAsia" w:ascii="仿宋" w:hAnsi="仿宋" w:eastAsia="仿宋"/>
          <w:b w:val="0"/>
          <w:bCs w:val="0"/>
        </w:rPr>
        <w:t>十三、</w:t>
      </w:r>
      <w:r>
        <w:rPr>
          <w:rFonts w:hint="eastAsia" w:ascii="仿宋" w:hAnsi="仿宋" w:eastAsia="仿宋"/>
          <w:b w:val="0"/>
          <w:color w:val="000000"/>
        </w:rPr>
        <w:t>国</w:t>
      </w:r>
      <w:r>
        <w:rPr>
          <w:rStyle w:val="17"/>
          <w:rFonts w:hint="eastAsia" w:ascii="仿宋" w:hAnsi="仿宋" w:eastAsia="仿宋"/>
          <w:b w:val="0"/>
          <w:bCs w:val="0"/>
        </w:rPr>
        <w:t>有资本经营预算支出决算表</w:t>
      </w:r>
      <w:bookmarkEnd w:id="8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18</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rPr>
        <w:rFonts w:cs="Times New Roman"/>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5">
    <w:nsid w:val="62621CDC"/>
    <w:multiLevelType w:val="multilevel"/>
    <w:tmpl w:val="62621CDC"/>
    <w:lvl w:ilvl="0" w:tentative="0">
      <w:start w:val="1"/>
      <w:numFmt w:val="decimal"/>
      <w:lvlText w:val="%1."/>
      <w:lvlJc w:val="left"/>
      <w:pPr>
        <w:ind w:left="1152" w:hanging="480"/>
      </w:pPr>
      <w:rPr>
        <w:rFonts w:hint="default" w:cs="Times New Roman"/>
      </w:rPr>
    </w:lvl>
    <w:lvl w:ilvl="1" w:tentative="0">
      <w:start w:val="1"/>
      <w:numFmt w:val="lowerLetter"/>
      <w:lvlText w:val="%2)"/>
      <w:lvlJc w:val="left"/>
      <w:pPr>
        <w:ind w:left="1512" w:hanging="420"/>
      </w:pPr>
      <w:rPr>
        <w:rFonts w:cs="Times New Roman"/>
      </w:rPr>
    </w:lvl>
    <w:lvl w:ilvl="2" w:tentative="0">
      <w:start w:val="1"/>
      <w:numFmt w:val="lowerRoman"/>
      <w:lvlText w:val="%3."/>
      <w:lvlJc w:val="right"/>
      <w:pPr>
        <w:ind w:left="1932" w:hanging="420"/>
      </w:pPr>
      <w:rPr>
        <w:rFonts w:cs="Times New Roman"/>
      </w:rPr>
    </w:lvl>
    <w:lvl w:ilvl="3" w:tentative="0">
      <w:start w:val="1"/>
      <w:numFmt w:val="decimal"/>
      <w:lvlText w:val="%4."/>
      <w:lvlJc w:val="left"/>
      <w:pPr>
        <w:ind w:left="2352" w:hanging="420"/>
      </w:pPr>
      <w:rPr>
        <w:rFonts w:cs="Times New Roman"/>
      </w:rPr>
    </w:lvl>
    <w:lvl w:ilvl="4" w:tentative="0">
      <w:start w:val="1"/>
      <w:numFmt w:val="lowerLetter"/>
      <w:lvlText w:val="%5)"/>
      <w:lvlJc w:val="left"/>
      <w:pPr>
        <w:ind w:left="2772" w:hanging="420"/>
      </w:pPr>
      <w:rPr>
        <w:rFonts w:cs="Times New Roman"/>
      </w:rPr>
    </w:lvl>
    <w:lvl w:ilvl="5" w:tentative="0">
      <w:start w:val="1"/>
      <w:numFmt w:val="lowerRoman"/>
      <w:lvlText w:val="%6."/>
      <w:lvlJc w:val="right"/>
      <w:pPr>
        <w:ind w:left="3192" w:hanging="420"/>
      </w:pPr>
      <w:rPr>
        <w:rFonts w:cs="Times New Roman"/>
      </w:rPr>
    </w:lvl>
    <w:lvl w:ilvl="6" w:tentative="0">
      <w:start w:val="1"/>
      <w:numFmt w:val="decimal"/>
      <w:lvlText w:val="%7."/>
      <w:lvlJc w:val="left"/>
      <w:pPr>
        <w:ind w:left="3612" w:hanging="420"/>
      </w:pPr>
      <w:rPr>
        <w:rFonts w:cs="Times New Roman"/>
      </w:rPr>
    </w:lvl>
    <w:lvl w:ilvl="7" w:tentative="0">
      <w:start w:val="1"/>
      <w:numFmt w:val="lowerLetter"/>
      <w:lvlText w:val="%8)"/>
      <w:lvlJc w:val="left"/>
      <w:pPr>
        <w:ind w:left="4032" w:hanging="420"/>
      </w:pPr>
      <w:rPr>
        <w:rFonts w:cs="Times New Roman"/>
      </w:rPr>
    </w:lvl>
    <w:lvl w:ilvl="8" w:tentative="0">
      <w:start w:val="1"/>
      <w:numFmt w:val="lowerRoman"/>
      <w:lvlText w:val="%9."/>
      <w:lvlJc w:val="right"/>
      <w:pPr>
        <w:ind w:left="4452" w:hanging="420"/>
      </w:pPr>
      <w:rPr>
        <w:rFonts w:cs="Times New Roman"/>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034F"/>
    <w:rsid w:val="000D1267"/>
    <w:rsid w:val="000D1D50"/>
    <w:rsid w:val="000D5782"/>
    <w:rsid w:val="000E6613"/>
    <w:rsid w:val="000E7119"/>
    <w:rsid w:val="00110756"/>
    <w:rsid w:val="00114E9B"/>
    <w:rsid w:val="00117E76"/>
    <w:rsid w:val="001203EF"/>
    <w:rsid w:val="0014729F"/>
    <w:rsid w:val="00157BAB"/>
    <w:rsid w:val="001654D1"/>
    <w:rsid w:val="00170A9A"/>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049CC"/>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2566B"/>
    <w:rsid w:val="00434489"/>
    <w:rsid w:val="00435797"/>
    <w:rsid w:val="00437085"/>
    <w:rsid w:val="00443880"/>
    <w:rsid w:val="004464F4"/>
    <w:rsid w:val="0046613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34F0"/>
    <w:rsid w:val="005664BB"/>
    <w:rsid w:val="0057481D"/>
    <w:rsid w:val="0058486E"/>
    <w:rsid w:val="005A0BE3"/>
    <w:rsid w:val="005D1C8B"/>
    <w:rsid w:val="005D5CED"/>
    <w:rsid w:val="005F1A4C"/>
    <w:rsid w:val="00605688"/>
    <w:rsid w:val="006070AF"/>
    <w:rsid w:val="00607E6C"/>
    <w:rsid w:val="006101B1"/>
    <w:rsid w:val="00614E44"/>
    <w:rsid w:val="00622830"/>
    <w:rsid w:val="00630AEF"/>
    <w:rsid w:val="006325F8"/>
    <w:rsid w:val="00634C9A"/>
    <w:rsid w:val="006440E4"/>
    <w:rsid w:val="00645F8B"/>
    <w:rsid w:val="0066059C"/>
    <w:rsid w:val="0066343B"/>
    <w:rsid w:val="00664777"/>
    <w:rsid w:val="006748A4"/>
    <w:rsid w:val="00683E73"/>
    <w:rsid w:val="00697495"/>
    <w:rsid w:val="006A3141"/>
    <w:rsid w:val="006A5E34"/>
    <w:rsid w:val="006B2422"/>
    <w:rsid w:val="006B2B9A"/>
    <w:rsid w:val="006C1937"/>
    <w:rsid w:val="006C1AAD"/>
    <w:rsid w:val="006E0273"/>
    <w:rsid w:val="006F020C"/>
    <w:rsid w:val="007127B7"/>
    <w:rsid w:val="00727E72"/>
    <w:rsid w:val="007416B6"/>
    <w:rsid w:val="0074223D"/>
    <w:rsid w:val="00746F48"/>
    <w:rsid w:val="0075404D"/>
    <w:rsid w:val="0076182A"/>
    <w:rsid w:val="00767B7E"/>
    <w:rsid w:val="007770C3"/>
    <w:rsid w:val="00777CB7"/>
    <w:rsid w:val="00784D24"/>
    <w:rsid w:val="00785FBA"/>
    <w:rsid w:val="00786E4A"/>
    <w:rsid w:val="007873AA"/>
    <w:rsid w:val="007875EB"/>
    <w:rsid w:val="0079426B"/>
    <w:rsid w:val="007B2620"/>
    <w:rsid w:val="007B7A67"/>
    <w:rsid w:val="007D312A"/>
    <w:rsid w:val="007D3F19"/>
    <w:rsid w:val="007E23B0"/>
    <w:rsid w:val="007F108C"/>
    <w:rsid w:val="007F1991"/>
    <w:rsid w:val="007F2C2F"/>
    <w:rsid w:val="007F55FC"/>
    <w:rsid w:val="007F5665"/>
    <w:rsid w:val="00800112"/>
    <w:rsid w:val="00806121"/>
    <w:rsid w:val="008123AD"/>
    <w:rsid w:val="008253BB"/>
    <w:rsid w:val="0083706E"/>
    <w:rsid w:val="008423A5"/>
    <w:rsid w:val="00850625"/>
    <w:rsid w:val="00853718"/>
    <w:rsid w:val="00855221"/>
    <w:rsid w:val="00860645"/>
    <w:rsid w:val="00871F71"/>
    <w:rsid w:val="00885AF4"/>
    <w:rsid w:val="008939CD"/>
    <w:rsid w:val="008B2507"/>
    <w:rsid w:val="008B768C"/>
    <w:rsid w:val="008C4DB1"/>
    <w:rsid w:val="008C4EAF"/>
    <w:rsid w:val="008C5176"/>
    <w:rsid w:val="008C7FD0"/>
    <w:rsid w:val="008E1DE7"/>
    <w:rsid w:val="008E69F7"/>
    <w:rsid w:val="008E707C"/>
    <w:rsid w:val="008F0CF3"/>
    <w:rsid w:val="008F5433"/>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2E12"/>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4D6C"/>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4984"/>
    <w:rsid w:val="00BC5361"/>
    <w:rsid w:val="00BC5460"/>
    <w:rsid w:val="00BC6B50"/>
    <w:rsid w:val="00BD0E25"/>
    <w:rsid w:val="00BE1868"/>
    <w:rsid w:val="00BF5BD6"/>
    <w:rsid w:val="00C03E31"/>
    <w:rsid w:val="00C33E72"/>
    <w:rsid w:val="00C354B2"/>
    <w:rsid w:val="00C35554"/>
    <w:rsid w:val="00C406E9"/>
    <w:rsid w:val="00C421E8"/>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020D9"/>
    <w:rsid w:val="00D20620"/>
    <w:rsid w:val="00D26091"/>
    <w:rsid w:val="00D34E7C"/>
    <w:rsid w:val="00D35489"/>
    <w:rsid w:val="00D51276"/>
    <w:rsid w:val="00D7035F"/>
    <w:rsid w:val="00DA65AC"/>
    <w:rsid w:val="00DB0F51"/>
    <w:rsid w:val="00DB1913"/>
    <w:rsid w:val="00DC410D"/>
    <w:rsid w:val="00DC68CA"/>
    <w:rsid w:val="00DC7CBA"/>
    <w:rsid w:val="00DD73B7"/>
    <w:rsid w:val="00DF28BC"/>
    <w:rsid w:val="00DF349D"/>
    <w:rsid w:val="00DF34B9"/>
    <w:rsid w:val="00E01053"/>
    <w:rsid w:val="00E041E7"/>
    <w:rsid w:val="00E07ACF"/>
    <w:rsid w:val="00E10D50"/>
    <w:rsid w:val="00E331A1"/>
    <w:rsid w:val="00E33202"/>
    <w:rsid w:val="00E336A9"/>
    <w:rsid w:val="00E43961"/>
    <w:rsid w:val="00E50624"/>
    <w:rsid w:val="00E55A68"/>
    <w:rsid w:val="00E568DF"/>
    <w:rsid w:val="00E64269"/>
    <w:rsid w:val="00E82267"/>
    <w:rsid w:val="00E8777A"/>
    <w:rsid w:val="00EA010F"/>
    <w:rsid w:val="00EA0975"/>
    <w:rsid w:val="00EB7EE6"/>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613E9"/>
    <w:rsid w:val="00F81FD9"/>
    <w:rsid w:val="00F841AA"/>
    <w:rsid w:val="00FA23E8"/>
    <w:rsid w:val="00FD3CC1"/>
    <w:rsid w:val="00FF1E02"/>
    <w:rsid w:val="00FF30B4"/>
    <w:rsid w:val="10C055FF"/>
    <w:rsid w:val="16BB723D"/>
    <w:rsid w:val="240371BF"/>
    <w:rsid w:val="27543BF3"/>
    <w:rsid w:val="28AC0257"/>
    <w:rsid w:val="29FD04D3"/>
    <w:rsid w:val="319F7F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8"/>
    <w:semiHidden/>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2"/>
    <w:semiHidden/>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character" w:styleId="14">
    <w:name w:val="Strong"/>
    <w:basedOn w:val="13"/>
    <w:qFormat/>
    <w:uiPriority w:val="99"/>
    <w:rPr>
      <w:rFonts w:cs="Times New Roman"/>
      <w:b/>
    </w:rPr>
  </w:style>
  <w:style w:type="character" w:styleId="15">
    <w:name w:val="Hyperlink"/>
    <w:basedOn w:val="13"/>
    <w:qFormat/>
    <w:uiPriority w:val="99"/>
    <w:rPr>
      <w:rFonts w:cs="Times New Roman"/>
      <w:color w:val="0000FF"/>
      <w:u w:val="single"/>
    </w:rPr>
  </w:style>
  <w:style w:type="character" w:customStyle="1" w:styleId="16">
    <w:name w:val="Heading 1 Char"/>
    <w:basedOn w:val="13"/>
    <w:link w:val="2"/>
    <w:qFormat/>
    <w:locked/>
    <w:uiPriority w:val="99"/>
    <w:rPr>
      <w:rFonts w:ascii="Times New Roman" w:hAnsi="Times New Roman" w:cs="Times New Roman"/>
      <w:b/>
      <w:bCs/>
      <w:kern w:val="44"/>
      <w:sz w:val="44"/>
      <w:szCs w:val="44"/>
    </w:rPr>
  </w:style>
  <w:style w:type="character" w:customStyle="1" w:styleId="17">
    <w:name w:val="Heading 2 Char"/>
    <w:basedOn w:val="13"/>
    <w:link w:val="3"/>
    <w:qFormat/>
    <w:locked/>
    <w:uiPriority w:val="99"/>
    <w:rPr>
      <w:rFonts w:ascii="Cambria" w:hAnsi="Cambria" w:eastAsia="宋体" w:cs="Times New Roman"/>
      <w:b/>
      <w:bCs/>
      <w:kern w:val="2"/>
      <w:sz w:val="32"/>
      <w:szCs w:val="32"/>
    </w:rPr>
  </w:style>
  <w:style w:type="character" w:customStyle="1" w:styleId="18">
    <w:name w:val="Heading 3 Char"/>
    <w:basedOn w:val="13"/>
    <w:link w:val="4"/>
    <w:qFormat/>
    <w:locked/>
    <w:uiPriority w:val="99"/>
    <w:rPr>
      <w:rFonts w:ascii="Times New Roman" w:hAnsi="Times New Roman" w:cs="Times New Roman"/>
      <w:b/>
      <w:bCs/>
      <w:kern w:val="2"/>
      <w:sz w:val="32"/>
      <w:szCs w:val="32"/>
    </w:rPr>
  </w:style>
  <w:style w:type="character" w:customStyle="1" w:styleId="19">
    <w:name w:val="Body Text Char"/>
    <w:basedOn w:val="13"/>
    <w:link w:val="5"/>
    <w:semiHidden/>
    <w:locked/>
    <w:uiPriority w:val="99"/>
    <w:rPr>
      <w:rFonts w:ascii="Times New Roman" w:hAnsi="Times New Roman" w:cs="Times New Roman"/>
      <w:sz w:val="24"/>
      <w:szCs w:val="24"/>
    </w:rPr>
  </w:style>
  <w:style w:type="character" w:customStyle="1" w:styleId="20">
    <w:name w:val="Footer Char"/>
    <w:basedOn w:val="13"/>
    <w:link w:val="8"/>
    <w:semiHidden/>
    <w:qFormat/>
    <w:locked/>
    <w:uiPriority w:val="99"/>
    <w:rPr>
      <w:rFonts w:ascii="Times New Roman" w:hAnsi="Times New Roman" w:cs="Times New Roman"/>
      <w:sz w:val="18"/>
      <w:szCs w:val="18"/>
    </w:rPr>
  </w:style>
  <w:style w:type="character" w:customStyle="1" w:styleId="21">
    <w:name w:val="Header Char"/>
    <w:basedOn w:val="13"/>
    <w:link w:val="9"/>
    <w:semiHidden/>
    <w:qFormat/>
    <w:locked/>
    <w:uiPriority w:val="99"/>
    <w:rPr>
      <w:rFonts w:ascii="Times New Roman" w:hAnsi="Times New Roman" w:cs="Times New Roman"/>
      <w:sz w:val="18"/>
      <w:szCs w:val="18"/>
    </w:rPr>
  </w:style>
  <w:style w:type="character" w:customStyle="1" w:styleId="22">
    <w:name w:val="Header Char1"/>
    <w:link w:val="9"/>
    <w:semiHidden/>
    <w:locked/>
    <w:uiPriority w:val="99"/>
    <w:rPr>
      <w:sz w:val="18"/>
    </w:rPr>
  </w:style>
  <w:style w:type="character" w:customStyle="1" w:styleId="23">
    <w:name w:val="Footer Char1"/>
    <w:link w:val="8"/>
    <w:locked/>
    <w:uiPriority w:val="99"/>
    <w:rPr>
      <w:sz w:val="18"/>
    </w:rPr>
  </w:style>
  <w:style w:type="character" w:customStyle="1" w:styleId="24">
    <w:name w:val="Body Text Char1"/>
    <w:link w:val="5"/>
    <w:qFormat/>
    <w:locked/>
    <w:uiPriority w:val="99"/>
    <w:rPr>
      <w:rFonts w:ascii="仿宋_GB2312" w:hAnsi="Times New Roman" w:eastAsia="仿宋_GB2312"/>
      <w:sz w:val="24"/>
    </w:rPr>
  </w:style>
  <w:style w:type="paragraph" w:customStyle="1" w:styleId="25">
    <w:name w:val="Defaul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6">
    <w:name w:val="List Paragraph"/>
    <w:basedOn w:val="1"/>
    <w:qFormat/>
    <w:uiPriority w:val="99"/>
    <w:pPr>
      <w:ind w:firstLine="420" w:firstLineChars="200"/>
    </w:pPr>
  </w:style>
  <w:style w:type="paragraph" w:customStyle="1" w:styleId="27">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8">
    <w:name w:val="Balloon Text Char"/>
    <w:basedOn w:val="13"/>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28</Pages>
  <Words>2023</Words>
  <Characters>11537</Characters>
  <Lines>0</Lines>
  <Paragraphs>0</Paragraphs>
  <TotalTime>233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随￡缘　</cp:lastModifiedBy>
  <cp:lastPrinted>2019-08-01T00:48:00Z</cp:lastPrinted>
  <dcterms:modified xsi:type="dcterms:W3CDTF">2019-10-25T01:55:29Z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